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CF48" w14:textId="77777777" w:rsidR="00BA6FF9" w:rsidRPr="00D947A9" w:rsidRDefault="00124746" w:rsidP="00CC3E8E">
      <w:pPr>
        <w:pStyle w:val="Heading1"/>
        <w:jc w:val="center"/>
        <w:rPr>
          <w:rFonts w:ascii="Arial" w:hAnsi="Arial" w:cs="Arial"/>
          <w:color w:val="auto"/>
        </w:rPr>
      </w:pPr>
      <w:r w:rsidRPr="00D947A9">
        <w:rPr>
          <w:rFonts w:ascii="Arial" w:hAnsi="Arial" w:cs="Arial"/>
          <w:color w:val="auto"/>
        </w:rPr>
        <w:t>Staff Report</w:t>
      </w:r>
    </w:p>
    <w:p w14:paraId="6697DE99" w14:textId="77777777" w:rsidR="00247892" w:rsidRPr="00D947A9" w:rsidRDefault="00247892" w:rsidP="00BA6FF9">
      <w:pPr>
        <w:ind w:left="2160" w:hanging="2160"/>
        <w:rPr>
          <w:rFonts w:cs="Arial"/>
          <w:szCs w:val="20"/>
        </w:rPr>
      </w:pPr>
    </w:p>
    <w:p w14:paraId="0AEEA22D" w14:textId="6BED536D" w:rsidR="00BA6FF9" w:rsidRPr="00D947A9" w:rsidRDefault="00785500" w:rsidP="00BA6FF9">
      <w:pPr>
        <w:ind w:left="2160" w:hanging="2160"/>
        <w:rPr>
          <w:rFonts w:cs="Arial"/>
          <w:szCs w:val="20"/>
        </w:rPr>
      </w:pPr>
      <w:r w:rsidRPr="00D947A9">
        <w:rPr>
          <w:rFonts w:cs="Arial"/>
          <w:szCs w:val="20"/>
        </w:rPr>
        <w:t>M</w:t>
      </w:r>
      <w:r w:rsidR="00124746" w:rsidRPr="00D947A9">
        <w:rPr>
          <w:rFonts w:cs="Arial"/>
          <w:szCs w:val="20"/>
        </w:rPr>
        <w:t>eeting Date</w:t>
      </w:r>
      <w:r w:rsidR="00BA6FF9" w:rsidRPr="00D947A9">
        <w:rPr>
          <w:rFonts w:cs="Arial"/>
          <w:szCs w:val="20"/>
        </w:rPr>
        <w:t>:</w:t>
      </w:r>
      <w:r w:rsidR="00BA6FF9" w:rsidRPr="00D947A9">
        <w:rPr>
          <w:rFonts w:cs="Arial"/>
          <w:szCs w:val="20"/>
        </w:rPr>
        <w:tab/>
      </w:r>
      <w:r w:rsidR="00DE0166">
        <w:rPr>
          <w:rFonts w:cs="Arial"/>
          <w:szCs w:val="20"/>
        </w:rPr>
        <w:t>November 12</w:t>
      </w:r>
      <w:r w:rsidR="00BD5D38" w:rsidRPr="00D947A9">
        <w:rPr>
          <w:rFonts w:cs="Arial"/>
          <w:szCs w:val="20"/>
        </w:rPr>
        <w:t>, 2024</w:t>
      </w:r>
    </w:p>
    <w:p w14:paraId="7580C93E" w14:textId="77777777" w:rsidR="00BA6FF9" w:rsidRPr="00D947A9" w:rsidRDefault="00124746" w:rsidP="00BA6FF9">
      <w:pPr>
        <w:ind w:left="2160" w:hanging="2160"/>
        <w:rPr>
          <w:rFonts w:cs="Arial"/>
          <w:szCs w:val="20"/>
        </w:rPr>
      </w:pPr>
      <w:r w:rsidRPr="00D947A9">
        <w:rPr>
          <w:rFonts w:cs="Arial"/>
          <w:szCs w:val="20"/>
        </w:rPr>
        <w:t>To</w:t>
      </w:r>
      <w:r w:rsidR="00BA6FF9" w:rsidRPr="00D947A9">
        <w:rPr>
          <w:rFonts w:cs="Arial"/>
          <w:szCs w:val="20"/>
        </w:rPr>
        <w:t>:</w:t>
      </w:r>
      <w:r w:rsidR="00BA6FF9" w:rsidRPr="00D947A9">
        <w:rPr>
          <w:rFonts w:cs="Arial"/>
          <w:szCs w:val="20"/>
        </w:rPr>
        <w:tab/>
        <w:t>Siskiyou County Board of Supervisors</w:t>
      </w:r>
    </w:p>
    <w:p w14:paraId="0E6A2833" w14:textId="7887C262" w:rsidR="00BA6FF9" w:rsidRPr="00D947A9" w:rsidRDefault="00124746" w:rsidP="00521DF2">
      <w:pPr>
        <w:tabs>
          <w:tab w:val="left" w:pos="2160"/>
        </w:tabs>
        <w:rPr>
          <w:rFonts w:cs="Arial"/>
          <w:szCs w:val="20"/>
        </w:rPr>
      </w:pPr>
      <w:r w:rsidRPr="00D947A9">
        <w:rPr>
          <w:rFonts w:cs="Arial"/>
          <w:szCs w:val="20"/>
        </w:rPr>
        <w:t>From</w:t>
      </w:r>
      <w:r w:rsidR="00521DF2" w:rsidRPr="00D947A9">
        <w:rPr>
          <w:rFonts w:cs="Arial"/>
          <w:szCs w:val="20"/>
        </w:rPr>
        <w:t>:</w:t>
      </w:r>
      <w:r w:rsidR="00521DF2" w:rsidRPr="00D947A9">
        <w:rPr>
          <w:rFonts w:cs="Arial"/>
          <w:szCs w:val="20"/>
        </w:rPr>
        <w:tab/>
      </w:r>
      <w:r w:rsidR="00BD5D38" w:rsidRPr="00D947A9">
        <w:rPr>
          <w:rFonts w:cs="Arial"/>
          <w:szCs w:val="20"/>
        </w:rPr>
        <w:t>Bernadette Cizin, Associate Planner</w:t>
      </w:r>
    </w:p>
    <w:p w14:paraId="01A41E0B" w14:textId="0A00091D" w:rsidR="00BA6FF9" w:rsidRPr="00D947A9" w:rsidRDefault="00124746" w:rsidP="00521DF2">
      <w:pPr>
        <w:spacing w:after="120"/>
        <w:ind w:left="2160" w:hanging="2160"/>
        <w:jc w:val="both"/>
        <w:rPr>
          <w:rFonts w:cs="Arial"/>
          <w:szCs w:val="20"/>
        </w:rPr>
      </w:pPr>
      <w:r w:rsidRPr="00D947A9">
        <w:rPr>
          <w:rFonts w:cs="Arial"/>
          <w:szCs w:val="20"/>
        </w:rPr>
        <w:t>Subject</w:t>
      </w:r>
      <w:r w:rsidR="00BA6FF9" w:rsidRPr="00D947A9">
        <w:rPr>
          <w:rFonts w:cs="Arial"/>
          <w:szCs w:val="20"/>
        </w:rPr>
        <w:t>:</w:t>
      </w:r>
      <w:r w:rsidR="00BA6FF9" w:rsidRPr="00D947A9">
        <w:rPr>
          <w:rFonts w:cs="Arial"/>
          <w:szCs w:val="20"/>
        </w:rPr>
        <w:tab/>
      </w:r>
      <w:r w:rsidR="0032598B" w:rsidRPr="00577993">
        <w:rPr>
          <w:rFonts w:cs="Arial"/>
          <w:szCs w:val="20"/>
        </w:rPr>
        <w:t xml:space="preserve">Update to the </w:t>
      </w:r>
      <w:r w:rsidR="0082150D" w:rsidRPr="00D947A9">
        <w:rPr>
          <w:rFonts w:cs="Arial"/>
          <w:szCs w:val="20"/>
        </w:rPr>
        <w:t>Rules for the Establishment and Administration of Agricultural Preserves and Williamson Act Contracts</w:t>
      </w:r>
      <w:r w:rsidR="00DE0166">
        <w:rPr>
          <w:rFonts w:cs="Arial"/>
          <w:szCs w:val="20"/>
        </w:rPr>
        <w:t xml:space="preserve"> Continued from September 3, 2024</w:t>
      </w:r>
    </w:p>
    <w:p w14:paraId="68D45C60" w14:textId="34A3B4AD" w:rsidR="00BA6FF9" w:rsidRPr="00D947A9" w:rsidRDefault="00785500" w:rsidP="001B3A24">
      <w:pPr>
        <w:pStyle w:val="Heading2"/>
        <w:spacing w:before="600" w:after="240"/>
        <w:rPr>
          <w:rFonts w:ascii="Arial" w:hAnsi="Arial" w:cs="Arial"/>
          <w:color w:val="auto"/>
        </w:rPr>
      </w:pPr>
      <w:r w:rsidRPr="00D947A9">
        <w:rPr>
          <w:rFonts w:ascii="Arial" w:hAnsi="Arial" w:cs="Arial"/>
          <w:noProof/>
          <w:color w:val="auto"/>
          <w:sz w:val="22"/>
        </w:rPr>
        <mc:AlternateContent>
          <mc:Choice Requires="wps">
            <w:drawing>
              <wp:anchor distT="0" distB="0" distL="114300" distR="114300" simplePos="0" relativeHeight="251659264" behindDoc="0" locked="0" layoutInCell="1" allowOverlap="1" wp14:anchorId="4BE706AB" wp14:editId="748C30FE">
                <wp:simplePos x="0" y="0"/>
                <wp:positionH relativeFrom="margin">
                  <wp:posOffset>-373380</wp:posOffset>
                </wp:positionH>
                <wp:positionV relativeFrom="paragraph">
                  <wp:posOffset>100965</wp:posOffset>
                </wp:positionV>
                <wp:extent cx="713422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74110"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" strokecolor="black [3213]" strokeweight="1.5pt">
                <w10:wrap anchorx="margin"/>
              </v:line>
            </w:pict>
          </mc:Fallback>
        </mc:AlternateContent>
      </w:r>
      <w:r w:rsidR="00124746" w:rsidRPr="00D947A9">
        <w:rPr>
          <w:rFonts w:ascii="Arial" w:hAnsi="Arial" w:cs="Arial"/>
          <w:color w:val="auto"/>
        </w:rPr>
        <w:t>Background</w:t>
      </w:r>
    </w:p>
    <w:p w14:paraId="0F28B7F9" w14:textId="2826847B" w:rsidR="00DE0166" w:rsidRPr="00D947A9" w:rsidRDefault="00075F98" w:rsidP="0082150D">
      <w:pPr>
        <w:jc w:val="both"/>
        <w:rPr>
          <w:rFonts w:cs="Arial"/>
        </w:rPr>
      </w:pPr>
      <w:r w:rsidRPr="00D947A9">
        <w:rPr>
          <w:rFonts w:cs="Arial"/>
        </w:rPr>
        <w:t xml:space="preserve">During the </w:t>
      </w:r>
      <w:r w:rsidR="00E937CB" w:rsidRPr="00D947A9">
        <w:rPr>
          <w:rFonts w:cs="Arial"/>
        </w:rPr>
        <w:t>August 6, 2024</w:t>
      </w:r>
      <w:r w:rsidR="00350FB5" w:rsidRPr="00D947A9">
        <w:rPr>
          <w:rFonts w:cs="Arial"/>
        </w:rPr>
        <w:t>,</w:t>
      </w:r>
      <w:r w:rsidRPr="00D947A9">
        <w:rPr>
          <w:rFonts w:cs="Arial"/>
        </w:rPr>
        <w:t xml:space="preserve"> Board of Supervisors meeting,</w:t>
      </w:r>
      <w:r w:rsidR="00350FB5" w:rsidRPr="00D947A9">
        <w:rPr>
          <w:rFonts w:cs="Arial"/>
        </w:rPr>
        <w:t xml:space="preserve"> </w:t>
      </w:r>
      <w:r w:rsidR="00E937CB" w:rsidRPr="00D947A9">
        <w:rPr>
          <w:rFonts w:cs="Arial"/>
        </w:rPr>
        <w:t>planning staff presented information on the Williamson Act program and discussed potential revisions to</w:t>
      </w:r>
      <w:r w:rsidRPr="00D947A9">
        <w:rPr>
          <w:rFonts w:cs="Arial"/>
        </w:rPr>
        <w:t xml:space="preserve"> the County’s Rules for the Establishment and Administration of Agricultural Preserves and Williamson Act Contracts (‘Guidelines’).</w:t>
      </w:r>
    </w:p>
    <w:p w14:paraId="63B9BCA8" w14:textId="277711C7" w:rsidR="00856D5A" w:rsidRDefault="00E937CB" w:rsidP="00856D5A">
      <w:pPr>
        <w:jc w:val="both"/>
        <w:rPr>
          <w:rFonts w:cs="Arial"/>
        </w:rPr>
      </w:pPr>
      <w:r w:rsidRPr="00D947A9">
        <w:rPr>
          <w:rFonts w:cs="Arial"/>
        </w:rPr>
        <w:t xml:space="preserve">Based on the discussion and direction from the Board, </w:t>
      </w:r>
      <w:r w:rsidR="00856D5A" w:rsidRPr="00D947A9">
        <w:rPr>
          <w:rFonts w:cs="Arial"/>
        </w:rPr>
        <w:t xml:space="preserve">Staff </w:t>
      </w:r>
      <w:r w:rsidRPr="00D947A9">
        <w:rPr>
          <w:rFonts w:cs="Arial"/>
        </w:rPr>
        <w:t xml:space="preserve">incorporated revisions </w:t>
      </w:r>
      <w:r w:rsidR="00856D5A" w:rsidRPr="00D947A9">
        <w:rPr>
          <w:rFonts w:cs="Arial"/>
        </w:rPr>
        <w:t xml:space="preserve">to better clarify responsibilities and requirements of the </w:t>
      </w:r>
      <w:r w:rsidR="00747F4B" w:rsidRPr="00D947A9">
        <w:rPr>
          <w:rFonts w:cs="Arial"/>
        </w:rPr>
        <w:t>C</w:t>
      </w:r>
      <w:r w:rsidR="00856D5A" w:rsidRPr="00D947A9">
        <w:rPr>
          <w:rFonts w:cs="Arial"/>
        </w:rPr>
        <w:t>ounty and contracted landowners and to simplify the contracting</w:t>
      </w:r>
      <w:r w:rsidR="00350FB5" w:rsidRPr="00D947A9">
        <w:rPr>
          <w:rFonts w:cs="Arial"/>
        </w:rPr>
        <w:t xml:space="preserve"> and amendment</w:t>
      </w:r>
      <w:r w:rsidR="00856D5A" w:rsidRPr="00D947A9">
        <w:rPr>
          <w:rFonts w:cs="Arial"/>
        </w:rPr>
        <w:t xml:space="preserve"> pro</w:t>
      </w:r>
      <w:r w:rsidR="00AE54C1" w:rsidRPr="00D947A9">
        <w:rPr>
          <w:rFonts w:cs="Arial"/>
        </w:rPr>
        <w:t>cess</w:t>
      </w:r>
      <w:r w:rsidR="00DE0166">
        <w:rPr>
          <w:rFonts w:cs="Arial"/>
        </w:rPr>
        <w:t xml:space="preserve">. These revisions were brought before the Board of Supervisors at the September 3, </w:t>
      </w:r>
      <w:proofErr w:type="gramStart"/>
      <w:r w:rsidR="00DE0166">
        <w:rPr>
          <w:rFonts w:cs="Arial"/>
        </w:rPr>
        <w:t>2024</w:t>
      </w:r>
      <w:proofErr w:type="gramEnd"/>
      <w:r w:rsidR="00DE0166">
        <w:rPr>
          <w:rFonts w:cs="Arial"/>
        </w:rPr>
        <w:t xml:space="preserve"> regular meeting in a Public Hearing. </w:t>
      </w:r>
    </w:p>
    <w:p w14:paraId="5D443726" w14:textId="520F08A0" w:rsidR="00DE0166" w:rsidRDefault="00DE0166" w:rsidP="00856D5A">
      <w:pPr>
        <w:jc w:val="both"/>
        <w:rPr>
          <w:rFonts w:cs="Arial"/>
        </w:rPr>
      </w:pPr>
      <w:r>
        <w:rPr>
          <w:rFonts w:cs="Arial"/>
        </w:rPr>
        <w:t>Further discussion regarding the recommended changes took place. No Public Comments were received. The Agricultural Commissioner was present and stated that they were in support of the recommendations. Staff requested the hearing be continued to allow time to incorporate the revisions into a final draft document. The Board directed staff to reach out to the Siskiyou County Farm Bureau, Cattlemen’s and Cattle</w:t>
      </w:r>
      <w:r w:rsidR="00110671">
        <w:rPr>
          <w:rFonts w:cs="Arial"/>
        </w:rPr>
        <w:t>women</w:t>
      </w:r>
      <w:r>
        <w:rPr>
          <w:rFonts w:cs="Arial"/>
        </w:rPr>
        <w:t xml:space="preserve">'s associations for comment. </w:t>
      </w:r>
    </w:p>
    <w:p w14:paraId="116F604D" w14:textId="53D74F54" w:rsidR="00DE0166" w:rsidRPr="00D947A9" w:rsidRDefault="00DE0166" w:rsidP="00856D5A">
      <w:pPr>
        <w:jc w:val="both"/>
        <w:rPr>
          <w:rFonts w:cs="Arial"/>
        </w:rPr>
      </w:pPr>
      <w:r>
        <w:rPr>
          <w:rFonts w:cs="Arial"/>
        </w:rPr>
        <w:t xml:space="preserve">The public hearing was continued to November 12, 2024. </w:t>
      </w:r>
    </w:p>
    <w:p w14:paraId="72C03A46" w14:textId="77777777" w:rsidR="0082150D" w:rsidRPr="00D947A9" w:rsidRDefault="0082150D" w:rsidP="005A3933">
      <w:pPr>
        <w:pStyle w:val="Heading2"/>
        <w:spacing w:before="0" w:after="240"/>
        <w:rPr>
          <w:rFonts w:ascii="Arial" w:hAnsi="Arial" w:cs="Arial"/>
          <w:color w:val="auto"/>
        </w:rPr>
      </w:pPr>
      <w:r w:rsidRPr="00D947A9">
        <w:rPr>
          <w:rFonts w:ascii="Arial" w:hAnsi="Arial" w:cs="Arial"/>
          <w:color w:val="auto"/>
        </w:rPr>
        <w:t>Discussion</w:t>
      </w:r>
    </w:p>
    <w:p w14:paraId="0D0E4D6A" w14:textId="5F201514" w:rsidR="00075F98" w:rsidRPr="00D947A9" w:rsidRDefault="00E937CB" w:rsidP="00075F98">
      <w:pPr>
        <w:rPr>
          <w:rFonts w:cs="Arial"/>
        </w:rPr>
      </w:pPr>
      <w:r w:rsidRPr="00D947A9">
        <w:rPr>
          <w:rFonts w:cs="Arial"/>
        </w:rPr>
        <w:t>The following</w:t>
      </w:r>
      <w:r w:rsidR="005A3933" w:rsidRPr="00D947A9">
        <w:rPr>
          <w:rFonts w:cs="Arial"/>
        </w:rPr>
        <w:t xml:space="preserve"> recommended</w:t>
      </w:r>
      <w:r w:rsidRPr="00D947A9">
        <w:rPr>
          <w:rFonts w:cs="Arial"/>
        </w:rPr>
        <w:t xml:space="preserve"> changes have been incorporated into the Draft version of the County Guidelines</w:t>
      </w:r>
      <w:r w:rsidR="00075F98" w:rsidRPr="00D947A9">
        <w:rPr>
          <w:rFonts w:cs="Arial"/>
        </w:rPr>
        <w:t>:</w:t>
      </w:r>
    </w:p>
    <w:p w14:paraId="5CAE26B8" w14:textId="1D56D5F5" w:rsidR="00EA2395" w:rsidRPr="00750268" w:rsidRDefault="00EA2395" w:rsidP="00110671">
      <w:pPr>
        <w:numPr>
          <w:ilvl w:val="0"/>
          <w:numId w:val="12"/>
        </w:numPr>
        <w:spacing w:before="240" w:after="0"/>
        <w:rPr>
          <w:rFonts w:cs="Arial"/>
          <w:b/>
          <w:bCs/>
        </w:rPr>
      </w:pPr>
      <w:r w:rsidRPr="00750268">
        <w:rPr>
          <w:rFonts w:cs="Arial"/>
          <w:b/>
          <w:bCs/>
        </w:rPr>
        <w:t xml:space="preserve">Better define what is considered a significant increase to an existing Williamson Act Contract (See Section III </w:t>
      </w:r>
      <w:r w:rsidR="00E95961" w:rsidRPr="00750268">
        <w:rPr>
          <w:rFonts w:cs="Arial"/>
          <w:b/>
          <w:bCs/>
        </w:rPr>
        <w:t xml:space="preserve">Item </w:t>
      </w:r>
      <w:r w:rsidRPr="00750268">
        <w:rPr>
          <w:rFonts w:cs="Arial"/>
          <w:b/>
          <w:bCs/>
        </w:rPr>
        <w:t xml:space="preserve">A of Exhibit </w:t>
      </w:r>
      <w:r w:rsidR="00E95961" w:rsidRPr="00750268">
        <w:rPr>
          <w:rFonts w:cs="Arial"/>
          <w:b/>
          <w:bCs/>
        </w:rPr>
        <w:t>A</w:t>
      </w:r>
      <w:r w:rsidRPr="00750268">
        <w:rPr>
          <w:rFonts w:cs="Arial"/>
          <w:b/>
          <w:bCs/>
        </w:rPr>
        <w:t>).</w:t>
      </w:r>
    </w:p>
    <w:p w14:paraId="7BF9962B" w14:textId="6BC49E4A" w:rsidR="00E77759" w:rsidRDefault="00750268" w:rsidP="00750268">
      <w:pPr>
        <w:pStyle w:val="ListParagraph"/>
        <w:numPr>
          <w:ilvl w:val="0"/>
          <w:numId w:val="30"/>
        </w:numPr>
        <w:spacing w:before="240" w:after="240"/>
        <w:rPr>
          <w:rFonts w:cs="Arial"/>
        </w:rPr>
      </w:pPr>
      <w:r w:rsidRPr="00750268">
        <w:rPr>
          <w:rFonts w:cs="Arial"/>
        </w:rPr>
        <w:t xml:space="preserve">The </w:t>
      </w:r>
      <w:r w:rsidR="00EA2395" w:rsidRPr="00750268">
        <w:rPr>
          <w:rFonts w:cs="Arial"/>
        </w:rPr>
        <w:t xml:space="preserve">county considers </w:t>
      </w:r>
      <w:r w:rsidR="005A3933" w:rsidRPr="00750268">
        <w:rPr>
          <w:rFonts w:cs="Arial"/>
        </w:rPr>
        <w:t xml:space="preserve">an increase of up to </w:t>
      </w:r>
      <w:r w:rsidR="00EA2395" w:rsidRPr="00750268">
        <w:rPr>
          <w:rFonts w:cs="Arial"/>
        </w:rPr>
        <w:t xml:space="preserve">25 acres or 2.5% of the existing contracted property, whichever is lesser, to </w:t>
      </w:r>
      <w:r w:rsidR="00EA2395" w:rsidRPr="00750268">
        <w:rPr>
          <w:rFonts w:cs="Arial"/>
          <w:u w:val="single"/>
        </w:rPr>
        <w:t>not</w:t>
      </w:r>
      <w:r w:rsidR="00EA2395" w:rsidRPr="00750268">
        <w:rPr>
          <w:rFonts w:cs="Arial"/>
        </w:rPr>
        <w:t xml:space="preserve"> be a significant increase to a contract. </w:t>
      </w:r>
      <w:r w:rsidR="00EA2395" w:rsidRPr="00750268">
        <w:rPr>
          <w:rFonts w:cs="Arial"/>
        </w:rPr>
        <w:br/>
        <w:t xml:space="preserve">A proposed increase of </w:t>
      </w:r>
      <w:r w:rsidR="005A3933" w:rsidRPr="00750268">
        <w:rPr>
          <w:rFonts w:cs="Arial"/>
        </w:rPr>
        <w:t xml:space="preserve">the Agricultural Preserve </w:t>
      </w:r>
      <w:r w:rsidR="00EA2395" w:rsidRPr="00750268">
        <w:rPr>
          <w:rFonts w:cs="Arial"/>
        </w:rPr>
        <w:t>by more than 25 acres or</w:t>
      </w:r>
      <w:r w:rsidR="0090686D" w:rsidRPr="00750268">
        <w:rPr>
          <w:rFonts w:cs="Arial"/>
        </w:rPr>
        <w:t xml:space="preserve"> more than</w:t>
      </w:r>
      <w:r w:rsidR="00EA2395" w:rsidRPr="00750268">
        <w:rPr>
          <w:rFonts w:cs="Arial"/>
        </w:rPr>
        <w:t xml:space="preserve"> 2.5% of the contracted land would be considered by </w:t>
      </w:r>
      <w:r w:rsidR="005A3933" w:rsidRPr="00750268">
        <w:rPr>
          <w:rFonts w:cs="Arial"/>
        </w:rPr>
        <w:t xml:space="preserve">the Agricultural Administrator and </w:t>
      </w:r>
      <w:r w:rsidR="00EA2395" w:rsidRPr="00750268">
        <w:rPr>
          <w:rFonts w:cs="Arial"/>
        </w:rPr>
        <w:t xml:space="preserve">the Board on a </w:t>
      </w:r>
      <w:r w:rsidR="005A3933" w:rsidRPr="00750268">
        <w:rPr>
          <w:rFonts w:cs="Arial"/>
        </w:rPr>
        <w:t>case-by-case</w:t>
      </w:r>
      <w:r w:rsidR="00EA2395" w:rsidRPr="00750268">
        <w:rPr>
          <w:rFonts w:cs="Arial"/>
        </w:rPr>
        <w:t xml:space="preserve"> basis.</w:t>
      </w:r>
    </w:p>
    <w:p w14:paraId="496CBE12" w14:textId="18136859" w:rsidR="00883132" w:rsidRPr="00E77759" w:rsidRDefault="00E77759" w:rsidP="00E77759">
      <w:pPr>
        <w:spacing w:after="0" w:line="240" w:lineRule="auto"/>
        <w:rPr>
          <w:rFonts w:cs="Arial"/>
        </w:rPr>
      </w:pPr>
      <w:r>
        <w:rPr>
          <w:rFonts w:cs="Arial"/>
        </w:rPr>
        <w:br w:type="page"/>
      </w:r>
    </w:p>
    <w:p w14:paraId="6058F9D9" w14:textId="691E6FA5" w:rsidR="0082150D" w:rsidRPr="00AD1019" w:rsidRDefault="004B6EAE" w:rsidP="00110671">
      <w:pPr>
        <w:numPr>
          <w:ilvl w:val="0"/>
          <w:numId w:val="12"/>
        </w:numPr>
        <w:spacing w:before="240" w:after="0"/>
        <w:rPr>
          <w:rFonts w:cs="Arial"/>
          <w:b/>
          <w:bCs/>
        </w:rPr>
      </w:pPr>
      <w:r w:rsidRPr="00AD1019">
        <w:rPr>
          <w:rFonts w:cs="Arial"/>
          <w:b/>
          <w:bCs/>
        </w:rPr>
        <w:lastRenderedPageBreak/>
        <w:t>Remove the</w:t>
      </w:r>
      <w:r w:rsidR="00FB3B51" w:rsidRPr="00AD1019">
        <w:rPr>
          <w:rFonts w:cs="Arial"/>
          <w:b/>
          <w:bCs/>
        </w:rPr>
        <w:t xml:space="preserve"> growing and harvesting of timber</w:t>
      </w:r>
      <w:r w:rsidRPr="00AD1019">
        <w:rPr>
          <w:rFonts w:cs="Arial"/>
          <w:b/>
          <w:bCs/>
        </w:rPr>
        <w:t xml:space="preserve"> as an allowed primary use of contracted property</w:t>
      </w:r>
      <w:r w:rsidR="00E95961" w:rsidRPr="00AD1019">
        <w:rPr>
          <w:rFonts w:cs="Arial"/>
          <w:b/>
          <w:bCs/>
        </w:rPr>
        <w:t xml:space="preserve"> (See Section IV Item A of Exhibit A)</w:t>
      </w:r>
      <w:r w:rsidR="00FA6664" w:rsidRPr="00AD1019">
        <w:rPr>
          <w:rFonts w:cs="Arial"/>
          <w:b/>
          <w:bCs/>
        </w:rPr>
        <w:t>.</w:t>
      </w:r>
    </w:p>
    <w:p w14:paraId="5FA426E9" w14:textId="77777777" w:rsidR="00750268" w:rsidRPr="00AD1019" w:rsidRDefault="00750268" w:rsidP="00C61B77">
      <w:pPr>
        <w:pStyle w:val="ListParagraph"/>
        <w:numPr>
          <w:ilvl w:val="1"/>
          <w:numId w:val="25"/>
        </w:numPr>
        <w:spacing w:before="240" w:after="240"/>
        <w:jc w:val="both"/>
        <w:rPr>
          <w:rFonts w:cs="Arial"/>
        </w:rPr>
      </w:pPr>
      <w:r w:rsidRPr="00AD1019">
        <w:rPr>
          <w:rFonts w:cs="Arial"/>
        </w:rPr>
        <w:t>The county will no longer approve contracts (new or amendments) for land where the primary use is timber.</w:t>
      </w:r>
    </w:p>
    <w:p w14:paraId="6910F8E6" w14:textId="3CA0C6EB" w:rsidR="004B6EAE" w:rsidRPr="00AD1019" w:rsidRDefault="00750268" w:rsidP="009F7321">
      <w:pPr>
        <w:pStyle w:val="ListParagraph"/>
        <w:numPr>
          <w:ilvl w:val="2"/>
          <w:numId w:val="25"/>
        </w:numPr>
        <w:spacing w:before="240" w:after="240"/>
        <w:ind w:left="1080"/>
        <w:rPr>
          <w:rFonts w:cs="Arial"/>
        </w:rPr>
      </w:pPr>
      <w:r w:rsidRPr="00AD1019">
        <w:rPr>
          <w:rFonts w:cs="Arial"/>
        </w:rPr>
        <w:t xml:space="preserve">If </w:t>
      </w:r>
      <w:r w:rsidR="00AD1019" w:rsidRPr="00AD1019">
        <w:rPr>
          <w:rFonts w:cs="Arial"/>
        </w:rPr>
        <w:t>an</w:t>
      </w:r>
      <w:r w:rsidRPr="00AD1019">
        <w:rPr>
          <w:rFonts w:cs="Arial"/>
        </w:rPr>
        <w:t xml:space="preserve"> </w:t>
      </w:r>
      <w:r w:rsidR="004B6EAE" w:rsidRPr="00AD1019">
        <w:rPr>
          <w:rFonts w:cs="Arial"/>
        </w:rPr>
        <w:t>owner</w:t>
      </w:r>
      <w:r w:rsidRPr="00AD1019">
        <w:rPr>
          <w:rFonts w:cs="Arial"/>
        </w:rPr>
        <w:t xml:space="preserve"> of contracted land</w:t>
      </w:r>
      <w:r w:rsidR="004B6EAE" w:rsidRPr="00AD1019">
        <w:rPr>
          <w:rFonts w:cs="Arial"/>
        </w:rPr>
        <w:t xml:space="preserve"> </w:t>
      </w:r>
      <w:r w:rsidRPr="00AD1019">
        <w:rPr>
          <w:rFonts w:cs="Arial"/>
        </w:rPr>
        <w:t>wishes</w:t>
      </w:r>
      <w:r w:rsidR="004B6EAE" w:rsidRPr="00AD1019">
        <w:rPr>
          <w:rFonts w:cs="Arial"/>
        </w:rPr>
        <w:t xml:space="preserve"> to change the primary use to the growing and harvesting of timber </w:t>
      </w:r>
      <w:r w:rsidRPr="00AD1019">
        <w:rPr>
          <w:rFonts w:cs="Arial"/>
        </w:rPr>
        <w:t xml:space="preserve">they must </w:t>
      </w:r>
      <w:r w:rsidR="004B6EAE" w:rsidRPr="00AD1019">
        <w:rPr>
          <w:rFonts w:cs="Arial"/>
        </w:rPr>
        <w:t>Rezone to Timber Production Zoning</w:t>
      </w:r>
      <w:r w:rsidRPr="00AD1019">
        <w:rPr>
          <w:rFonts w:cs="Arial"/>
        </w:rPr>
        <w:t xml:space="preserve"> (</w:t>
      </w:r>
      <w:r w:rsidR="004B6EAE" w:rsidRPr="00AD1019">
        <w:rPr>
          <w:rFonts w:cs="Arial"/>
        </w:rPr>
        <w:t>no cancellation fees, as noted in Government Code Section 51282.5</w:t>
      </w:r>
      <w:r w:rsidRPr="00AD1019">
        <w:rPr>
          <w:rFonts w:cs="Arial"/>
        </w:rPr>
        <w:t xml:space="preserve">) or </w:t>
      </w:r>
      <w:r w:rsidR="00AD1019" w:rsidRPr="00AD1019">
        <w:rPr>
          <w:rFonts w:cs="Arial"/>
        </w:rPr>
        <w:t xml:space="preserve">should </w:t>
      </w:r>
      <w:r w:rsidRPr="00AD1019">
        <w:rPr>
          <w:rFonts w:cs="Arial"/>
        </w:rPr>
        <w:t xml:space="preserve">go through the </w:t>
      </w:r>
      <w:proofErr w:type="gramStart"/>
      <w:r w:rsidRPr="00AD1019">
        <w:rPr>
          <w:rFonts w:cs="Arial"/>
        </w:rPr>
        <w:t>Non-Renewal</w:t>
      </w:r>
      <w:proofErr w:type="gramEnd"/>
      <w:r w:rsidRPr="00AD1019">
        <w:rPr>
          <w:rFonts w:cs="Arial"/>
        </w:rPr>
        <w:t xml:space="preserve"> process prior to discontinuing the primary use agreed upon in the existing contract</w:t>
      </w:r>
      <w:r w:rsidR="004B6EAE" w:rsidRPr="00AD1019">
        <w:rPr>
          <w:rFonts w:cs="Arial"/>
        </w:rPr>
        <w:t>.</w:t>
      </w:r>
    </w:p>
    <w:p w14:paraId="2B350CB8" w14:textId="05C01339" w:rsidR="00883132" w:rsidRPr="00AD1019" w:rsidRDefault="00883132" w:rsidP="00110671">
      <w:pPr>
        <w:numPr>
          <w:ilvl w:val="0"/>
          <w:numId w:val="12"/>
        </w:numPr>
        <w:spacing w:before="240" w:after="0"/>
        <w:rPr>
          <w:rFonts w:cs="Arial"/>
          <w:b/>
          <w:bCs/>
        </w:rPr>
      </w:pPr>
      <w:r w:rsidRPr="00AD1019">
        <w:rPr>
          <w:rFonts w:cs="Arial"/>
          <w:b/>
          <w:bCs/>
        </w:rPr>
        <w:t>Remove and revise Commercial Agricultural Production Uses (See Section IV</w:t>
      </w:r>
      <w:r w:rsidR="00E95961" w:rsidRPr="00AD1019">
        <w:rPr>
          <w:rFonts w:cs="Arial"/>
          <w:b/>
          <w:bCs/>
        </w:rPr>
        <w:t xml:space="preserve"> Item </w:t>
      </w:r>
      <w:r w:rsidRPr="00AD1019">
        <w:rPr>
          <w:rFonts w:cs="Arial"/>
          <w:b/>
          <w:bCs/>
        </w:rPr>
        <w:t xml:space="preserve">A of Exhibit </w:t>
      </w:r>
      <w:r w:rsidR="00E95961" w:rsidRPr="00AD1019">
        <w:rPr>
          <w:rFonts w:cs="Arial"/>
          <w:b/>
          <w:bCs/>
        </w:rPr>
        <w:t>A</w:t>
      </w:r>
      <w:r w:rsidRPr="00AD1019">
        <w:rPr>
          <w:rFonts w:cs="Arial"/>
          <w:b/>
          <w:bCs/>
        </w:rPr>
        <w:t>).</w:t>
      </w:r>
    </w:p>
    <w:p w14:paraId="01D9C4D7" w14:textId="1DDE1FA2" w:rsidR="00883132" w:rsidRPr="00AD1019" w:rsidRDefault="00883132" w:rsidP="00C61B77">
      <w:pPr>
        <w:pStyle w:val="ListParagraph"/>
        <w:numPr>
          <w:ilvl w:val="0"/>
          <w:numId w:val="26"/>
        </w:numPr>
        <w:spacing w:before="240" w:after="240"/>
        <w:rPr>
          <w:rFonts w:cs="Arial"/>
        </w:rPr>
      </w:pPr>
      <w:r w:rsidRPr="00AD1019">
        <w:rPr>
          <w:rFonts w:cs="Arial"/>
        </w:rPr>
        <w:t xml:space="preserve">Remove uses described as accessory as these belong under compatible uses. </w:t>
      </w:r>
    </w:p>
    <w:p w14:paraId="1A611026" w14:textId="77777777" w:rsidR="00883132" w:rsidRPr="00AD1019" w:rsidRDefault="00883132" w:rsidP="00C61B77">
      <w:pPr>
        <w:pStyle w:val="ListParagraph"/>
        <w:numPr>
          <w:ilvl w:val="0"/>
          <w:numId w:val="26"/>
        </w:numPr>
        <w:spacing w:before="240" w:after="240"/>
        <w:rPr>
          <w:rFonts w:cs="Arial"/>
        </w:rPr>
      </w:pPr>
      <w:r w:rsidRPr="00AD1019">
        <w:rPr>
          <w:rFonts w:cs="Arial"/>
        </w:rPr>
        <w:t>Better describe the use of Production of Fiber</w:t>
      </w:r>
    </w:p>
    <w:p w14:paraId="7CE93B63" w14:textId="33910073" w:rsidR="00883132" w:rsidRPr="00AD1019" w:rsidRDefault="00883132" w:rsidP="00110671">
      <w:pPr>
        <w:numPr>
          <w:ilvl w:val="0"/>
          <w:numId w:val="12"/>
        </w:numPr>
        <w:spacing w:before="240" w:after="0"/>
        <w:jc w:val="both"/>
        <w:rPr>
          <w:rFonts w:cs="Arial"/>
          <w:b/>
          <w:bCs/>
        </w:rPr>
      </w:pPr>
      <w:r w:rsidRPr="00AD1019">
        <w:rPr>
          <w:rFonts w:cs="Arial"/>
          <w:b/>
          <w:bCs/>
        </w:rPr>
        <w:t xml:space="preserve">Remove Agritourism activities from Compatible Uses </w:t>
      </w:r>
      <w:r w:rsidR="00FA6664" w:rsidRPr="00AD1019">
        <w:rPr>
          <w:rFonts w:cs="Arial"/>
          <w:b/>
          <w:bCs/>
        </w:rPr>
        <w:t>(See Section IV Item B of Exhibit A).</w:t>
      </w:r>
    </w:p>
    <w:p w14:paraId="6DE15ECB" w14:textId="57C863D2" w:rsidR="00883132" w:rsidRPr="007651A9" w:rsidRDefault="00AD1019" w:rsidP="00750268">
      <w:pPr>
        <w:pStyle w:val="ListParagraph"/>
        <w:numPr>
          <w:ilvl w:val="0"/>
          <w:numId w:val="31"/>
        </w:numPr>
        <w:spacing w:before="240" w:after="240"/>
        <w:jc w:val="both"/>
        <w:rPr>
          <w:rFonts w:cs="Arial"/>
        </w:rPr>
      </w:pPr>
      <w:r w:rsidRPr="007651A9">
        <w:rPr>
          <w:rFonts w:cs="Arial"/>
        </w:rPr>
        <w:t>Remove Agritourism, as it is not defined in County Code and</w:t>
      </w:r>
      <w:r w:rsidR="00883132" w:rsidRPr="007651A9">
        <w:rPr>
          <w:rFonts w:cs="Arial"/>
        </w:rPr>
        <w:t xml:space="preserve"> </w:t>
      </w:r>
      <w:r w:rsidRPr="007651A9">
        <w:rPr>
          <w:rFonts w:cs="Arial"/>
        </w:rPr>
        <w:t>list these types of activities in Compatible Uses</w:t>
      </w:r>
      <w:r w:rsidR="00883132" w:rsidRPr="007651A9">
        <w:rPr>
          <w:rFonts w:cs="Arial"/>
        </w:rPr>
        <w:t>.</w:t>
      </w:r>
    </w:p>
    <w:p w14:paraId="46EBB9C0" w14:textId="0E4FB80A" w:rsidR="0082150D" w:rsidRPr="007651A9" w:rsidRDefault="00E87FA9" w:rsidP="00110671">
      <w:pPr>
        <w:numPr>
          <w:ilvl w:val="0"/>
          <w:numId w:val="12"/>
        </w:numPr>
        <w:spacing w:before="240" w:after="0"/>
        <w:jc w:val="both"/>
        <w:rPr>
          <w:rFonts w:cs="Arial"/>
          <w:b/>
          <w:bCs/>
        </w:rPr>
      </w:pPr>
      <w:r w:rsidRPr="007651A9">
        <w:rPr>
          <w:rFonts w:cs="Arial"/>
          <w:b/>
          <w:bCs/>
        </w:rPr>
        <w:t>Include Vacation Rentals under Residential Uses</w:t>
      </w:r>
      <w:r w:rsidR="00FA6664" w:rsidRPr="007651A9">
        <w:rPr>
          <w:rFonts w:cs="Arial"/>
          <w:b/>
          <w:bCs/>
        </w:rPr>
        <w:t xml:space="preserve"> (See Section IV Item B of Exhibit A).</w:t>
      </w:r>
    </w:p>
    <w:p w14:paraId="589D6EC6" w14:textId="53DE6D2C" w:rsidR="00C61B77" w:rsidRPr="007651A9" w:rsidRDefault="00844D99" w:rsidP="00AD1019">
      <w:pPr>
        <w:pStyle w:val="ListParagraph"/>
        <w:numPr>
          <w:ilvl w:val="0"/>
          <w:numId w:val="32"/>
        </w:numPr>
        <w:spacing w:after="240"/>
        <w:jc w:val="both"/>
        <w:rPr>
          <w:rFonts w:cs="Arial"/>
        </w:rPr>
      </w:pPr>
      <w:r w:rsidRPr="007651A9">
        <w:rPr>
          <w:rFonts w:cs="Arial"/>
        </w:rPr>
        <w:t xml:space="preserve">Allow the use of </w:t>
      </w:r>
      <w:r w:rsidR="0090686D" w:rsidRPr="007651A9">
        <w:rPr>
          <w:rFonts w:cs="Arial"/>
        </w:rPr>
        <w:t xml:space="preserve">an </w:t>
      </w:r>
      <w:r w:rsidRPr="007651A9">
        <w:rPr>
          <w:rFonts w:cs="Arial"/>
        </w:rPr>
        <w:t xml:space="preserve">existing </w:t>
      </w:r>
      <w:r w:rsidR="0090686D" w:rsidRPr="007651A9">
        <w:rPr>
          <w:rFonts w:cs="Arial"/>
        </w:rPr>
        <w:t>residence</w:t>
      </w:r>
      <w:r w:rsidRPr="007651A9">
        <w:rPr>
          <w:rFonts w:cs="Arial"/>
        </w:rPr>
        <w:t xml:space="preserve"> to be rented </w:t>
      </w:r>
      <w:r w:rsidR="0090686D" w:rsidRPr="007651A9">
        <w:rPr>
          <w:rFonts w:cs="Arial"/>
        </w:rPr>
        <w:t xml:space="preserve">on a </w:t>
      </w:r>
      <w:r w:rsidR="00FA6664" w:rsidRPr="007651A9">
        <w:rPr>
          <w:rFonts w:cs="Arial"/>
        </w:rPr>
        <w:t>short-term</w:t>
      </w:r>
      <w:r w:rsidR="0090686D" w:rsidRPr="007651A9">
        <w:rPr>
          <w:rFonts w:cs="Arial"/>
        </w:rPr>
        <w:t xml:space="preserve"> basis with</w:t>
      </w:r>
      <w:r w:rsidRPr="007651A9">
        <w:rPr>
          <w:rFonts w:cs="Arial"/>
        </w:rPr>
        <w:t xml:space="preserve"> </w:t>
      </w:r>
      <w:r w:rsidR="00283FC9" w:rsidRPr="007651A9">
        <w:rPr>
          <w:rFonts w:cs="Arial"/>
        </w:rPr>
        <w:t>applicable permits.</w:t>
      </w:r>
    </w:p>
    <w:p w14:paraId="6E877CB0" w14:textId="444E1BD5" w:rsidR="00D229E8" w:rsidRPr="007651A9" w:rsidRDefault="00E87FA9" w:rsidP="00110671">
      <w:pPr>
        <w:numPr>
          <w:ilvl w:val="0"/>
          <w:numId w:val="12"/>
        </w:numPr>
        <w:spacing w:before="240" w:after="0"/>
        <w:rPr>
          <w:rFonts w:cs="Arial"/>
          <w:b/>
          <w:bCs/>
        </w:rPr>
      </w:pPr>
      <w:r w:rsidRPr="007651A9">
        <w:rPr>
          <w:rFonts w:cs="Arial"/>
          <w:b/>
          <w:bCs/>
        </w:rPr>
        <w:t>Revised Conservation Programs to require property owners to provide Conservation contracts/easements to the Planning Division</w:t>
      </w:r>
      <w:r w:rsidR="00283FC9" w:rsidRPr="007651A9">
        <w:rPr>
          <w:rFonts w:cs="Arial"/>
          <w:b/>
          <w:bCs/>
        </w:rPr>
        <w:t xml:space="preserve"> (See Section IV </w:t>
      </w:r>
      <w:r w:rsidR="00FA6664" w:rsidRPr="007651A9">
        <w:rPr>
          <w:rFonts w:cs="Arial"/>
          <w:b/>
          <w:bCs/>
        </w:rPr>
        <w:t xml:space="preserve">Item </w:t>
      </w:r>
      <w:r w:rsidR="00283FC9" w:rsidRPr="007651A9">
        <w:rPr>
          <w:rFonts w:cs="Arial"/>
          <w:b/>
          <w:bCs/>
        </w:rPr>
        <w:t>B</w:t>
      </w:r>
      <w:r w:rsidR="00B0517A" w:rsidRPr="007651A9">
        <w:rPr>
          <w:rFonts w:cs="Arial"/>
          <w:b/>
          <w:bCs/>
        </w:rPr>
        <w:t xml:space="preserve"> of</w:t>
      </w:r>
      <w:r w:rsidR="00283FC9" w:rsidRPr="007651A9">
        <w:rPr>
          <w:rFonts w:cs="Arial"/>
          <w:b/>
          <w:bCs/>
        </w:rPr>
        <w:t xml:space="preserve"> Exhibit </w:t>
      </w:r>
      <w:r w:rsidR="00FA6664" w:rsidRPr="007651A9">
        <w:rPr>
          <w:rFonts w:cs="Arial"/>
          <w:b/>
          <w:bCs/>
        </w:rPr>
        <w:t>A</w:t>
      </w:r>
      <w:r w:rsidR="00283FC9" w:rsidRPr="007651A9">
        <w:rPr>
          <w:rFonts w:cs="Arial"/>
          <w:b/>
          <w:bCs/>
        </w:rPr>
        <w:t>)</w:t>
      </w:r>
      <w:r w:rsidR="00FA6664" w:rsidRPr="007651A9">
        <w:rPr>
          <w:rFonts w:cs="Arial"/>
          <w:b/>
          <w:bCs/>
        </w:rPr>
        <w:t>.</w:t>
      </w:r>
    </w:p>
    <w:p w14:paraId="60EF3D9A" w14:textId="2B4F3750" w:rsidR="00F64E78" w:rsidRPr="007651A9" w:rsidRDefault="00283FC9" w:rsidP="00AD1019">
      <w:pPr>
        <w:pStyle w:val="ListParagraph"/>
        <w:numPr>
          <w:ilvl w:val="0"/>
          <w:numId w:val="33"/>
        </w:numPr>
        <w:spacing w:before="240" w:after="240"/>
        <w:jc w:val="both"/>
        <w:rPr>
          <w:rFonts w:cs="Arial"/>
        </w:rPr>
      </w:pPr>
      <w:r w:rsidRPr="007651A9">
        <w:rPr>
          <w:rFonts w:cs="Arial"/>
        </w:rPr>
        <w:t>C</w:t>
      </w:r>
      <w:r w:rsidR="00F64E78" w:rsidRPr="007651A9">
        <w:rPr>
          <w:rFonts w:cs="Arial"/>
        </w:rPr>
        <w:t>larif</w:t>
      </w:r>
      <w:r w:rsidRPr="007651A9">
        <w:rPr>
          <w:rFonts w:cs="Arial"/>
        </w:rPr>
        <w:t>y</w:t>
      </w:r>
      <w:r w:rsidR="00F64E78" w:rsidRPr="007651A9">
        <w:rPr>
          <w:rFonts w:cs="Arial"/>
        </w:rPr>
        <w:t xml:space="preserve"> that it is the responsibility of the property owner to provide </w:t>
      </w:r>
      <w:r w:rsidRPr="007651A9">
        <w:rPr>
          <w:rFonts w:cs="Arial"/>
        </w:rPr>
        <w:t>Conservation Contracts or Easements</w:t>
      </w:r>
      <w:r w:rsidR="00F64E78" w:rsidRPr="007651A9">
        <w:rPr>
          <w:rFonts w:cs="Arial"/>
        </w:rPr>
        <w:t xml:space="preserve"> for review of compatibility with the</w:t>
      </w:r>
      <w:r w:rsidRPr="007651A9">
        <w:rPr>
          <w:rFonts w:cs="Arial"/>
        </w:rPr>
        <w:t>ir</w:t>
      </w:r>
      <w:r w:rsidR="00F64E78" w:rsidRPr="007651A9">
        <w:rPr>
          <w:rFonts w:cs="Arial"/>
        </w:rPr>
        <w:t xml:space="preserve"> Williamson Act and clarifies that if this does not occur, the county will issue a Notice of Non-Renewal.</w:t>
      </w:r>
    </w:p>
    <w:p w14:paraId="6468B7D2" w14:textId="50C16EEB" w:rsidR="0082150D" w:rsidRPr="007651A9" w:rsidRDefault="00283FC9" w:rsidP="00110671">
      <w:pPr>
        <w:numPr>
          <w:ilvl w:val="0"/>
          <w:numId w:val="12"/>
        </w:numPr>
        <w:spacing w:before="240" w:after="0"/>
        <w:rPr>
          <w:rFonts w:cs="Arial"/>
          <w:b/>
          <w:bCs/>
        </w:rPr>
      </w:pPr>
      <w:r w:rsidRPr="007651A9">
        <w:rPr>
          <w:rFonts w:cs="Arial"/>
          <w:b/>
          <w:bCs/>
        </w:rPr>
        <w:t>Included a Minor Amendment -</w:t>
      </w:r>
      <w:r w:rsidR="00E87FA9" w:rsidRPr="007651A9">
        <w:rPr>
          <w:rFonts w:cs="Arial"/>
          <w:b/>
          <w:bCs/>
        </w:rPr>
        <w:t xml:space="preserve"> Agricultural Preserve Administrator may approve</w:t>
      </w:r>
      <w:r w:rsidR="004D0141" w:rsidRPr="007651A9">
        <w:rPr>
          <w:rFonts w:cs="Arial"/>
          <w:b/>
          <w:bCs/>
        </w:rPr>
        <w:t xml:space="preserve"> a Change in Use as a Minor Contract Amendment. </w:t>
      </w:r>
      <w:r w:rsidRPr="007651A9">
        <w:rPr>
          <w:rFonts w:cs="Arial"/>
          <w:b/>
          <w:bCs/>
        </w:rPr>
        <w:t>(See Section IV</w:t>
      </w:r>
      <w:r w:rsidR="00FA6664" w:rsidRPr="007651A9">
        <w:rPr>
          <w:rFonts w:cs="Arial"/>
          <w:b/>
          <w:bCs/>
        </w:rPr>
        <w:t xml:space="preserve"> Item</w:t>
      </w:r>
      <w:r w:rsidRPr="007651A9">
        <w:rPr>
          <w:rFonts w:cs="Arial"/>
          <w:b/>
          <w:bCs/>
        </w:rPr>
        <w:t xml:space="preserve"> C of Exhibit </w:t>
      </w:r>
      <w:r w:rsidR="00FA6664" w:rsidRPr="007651A9">
        <w:rPr>
          <w:rFonts w:cs="Arial"/>
          <w:b/>
          <w:bCs/>
        </w:rPr>
        <w:t>A</w:t>
      </w:r>
      <w:r w:rsidRPr="007651A9">
        <w:rPr>
          <w:rFonts w:cs="Arial"/>
          <w:b/>
          <w:bCs/>
        </w:rPr>
        <w:t>)</w:t>
      </w:r>
      <w:r w:rsidR="00633254" w:rsidRPr="007651A9">
        <w:rPr>
          <w:rFonts w:cs="Arial"/>
          <w:b/>
          <w:bCs/>
        </w:rPr>
        <w:t>.</w:t>
      </w:r>
    </w:p>
    <w:p w14:paraId="6F14D330" w14:textId="5D3A669C" w:rsidR="00AE7307" w:rsidRPr="007651A9" w:rsidRDefault="00283FC9" w:rsidP="00AD1019">
      <w:pPr>
        <w:pStyle w:val="ListParagraph"/>
        <w:numPr>
          <w:ilvl w:val="0"/>
          <w:numId w:val="34"/>
        </w:numPr>
        <w:spacing w:before="240" w:after="240"/>
        <w:jc w:val="both"/>
        <w:rPr>
          <w:rFonts w:cs="Arial"/>
        </w:rPr>
      </w:pPr>
      <w:r w:rsidRPr="007651A9">
        <w:rPr>
          <w:rFonts w:cs="Arial"/>
        </w:rPr>
        <w:t>A</w:t>
      </w:r>
      <w:r w:rsidR="00F64E78" w:rsidRPr="007651A9">
        <w:rPr>
          <w:rFonts w:cs="Arial"/>
        </w:rPr>
        <w:t>llow a Minor Amendment Fee to be assessed (50% of the normal application fees plus CEQA fees (</w:t>
      </w:r>
      <w:r w:rsidR="00AE7307" w:rsidRPr="007651A9">
        <w:rPr>
          <w:rFonts w:cs="Arial"/>
        </w:rPr>
        <w:t>Planning Fees County Code Section 10-6.1601)</w:t>
      </w:r>
    </w:p>
    <w:p w14:paraId="413E6C6A" w14:textId="165194AE" w:rsidR="007133D3" w:rsidRPr="007651A9" w:rsidRDefault="00283FC9" w:rsidP="00AD1019">
      <w:pPr>
        <w:pStyle w:val="ListParagraph"/>
        <w:numPr>
          <w:ilvl w:val="0"/>
          <w:numId w:val="34"/>
        </w:numPr>
        <w:spacing w:before="240" w:after="240"/>
        <w:jc w:val="both"/>
        <w:rPr>
          <w:rFonts w:cs="Arial"/>
        </w:rPr>
      </w:pPr>
      <w:r w:rsidRPr="007651A9">
        <w:rPr>
          <w:rFonts w:cs="Arial"/>
        </w:rPr>
        <w:t>Allow</w:t>
      </w:r>
      <w:r w:rsidR="008F6692" w:rsidRPr="007651A9">
        <w:rPr>
          <w:rFonts w:cs="Arial"/>
        </w:rPr>
        <w:t xml:space="preserve"> review and approv</w:t>
      </w:r>
      <w:r w:rsidRPr="007651A9">
        <w:rPr>
          <w:rFonts w:cs="Arial"/>
        </w:rPr>
        <w:t>al</w:t>
      </w:r>
      <w:r w:rsidR="008F6692" w:rsidRPr="007651A9">
        <w:rPr>
          <w:rFonts w:cs="Arial"/>
        </w:rPr>
        <w:t xml:space="preserve"> by the Agricultural Preserve Administrator.</w:t>
      </w:r>
    </w:p>
    <w:p w14:paraId="2060CF87" w14:textId="3F4D1EAA" w:rsidR="0082150D" w:rsidRPr="007651A9" w:rsidRDefault="00D229E8" w:rsidP="00110671">
      <w:pPr>
        <w:numPr>
          <w:ilvl w:val="0"/>
          <w:numId w:val="12"/>
        </w:numPr>
        <w:spacing w:before="240" w:after="0"/>
        <w:rPr>
          <w:rFonts w:cs="Arial"/>
          <w:b/>
          <w:bCs/>
        </w:rPr>
      </w:pPr>
      <w:r w:rsidRPr="007651A9">
        <w:rPr>
          <w:rFonts w:cs="Arial"/>
          <w:b/>
          <w:bCs/>
        </w:rPr>
        <w:t>Included a process for</w:t>
      </w:r>
      <w:r w:rsidR="004D0141" w:rsidRPr="007651A9">
        <w:rPr>
          <w:rFonts w:cs="Arial"/>
          <w:b/>
          <w:bCs/>
        </w:rPr>
        <w:t xml:space="preserve"> Withdraw a Notice </w:t>
      </w:r>
      <w:r w:rsidR="0080584B" w:rsidRPr="007651A9">
        <w:rPr>
          <w:rFonts w:cs="Arial"/>
          <w:b/>
          <w:bCs/>
        </w:rPr>
        <w:t>of</w:t>
      </w:r>
      <w:r w:rsidR="004D0141" w:rsidRPr="007651A9">
        <w:rPr>
          <w:rFonts w:cs="Arial"/>
          <w:b/>
          <w:bCs/>
        </w:rPr>
        <w:t xml:space="preserve"> Non-Renewal</w:t>
      </w:r>
      <w:r w:rsidR="00FA6664" w:rsidRPr="007651A9">
        <w:rPr>
          <w:rFonts w:cs="Arial"/>
          <w:b/>
          <w:bCs/>
        </w:rPr>
        <w:t xml:space="preserve"> (See Section VII Item A of Exhibit A)</w:t>
      </w:r>
      <w:r w:rsidR="00633254" w:rsidRPr="007651A9">
        <w:rPr>
          <w:rFonts w:cs="Arial"/>
          <w:b/>
          <w:bCs/>
        </w:rPr>
        <w:t>.</w:t>
      </w:r>
    </w:p>
    <w:p w14:paraId="238F7408" w14:textId="399C4E33" w:rsidR="00E77759" w:rsidRDefault="00D229E8" w:rsidP="00AD1019">
      <w:pPr>
        <w:pStyle w:val="ListParagraph"/>
        <w:numPr>
          <w:ilvl w:val="0"/>
          <w:numId w:val="35"/>
        </w:numPr>
        <w:spacing w:before="240" w:after="240"/>
        <w:jc w:val="both"/>
        <w:rPr>
          <w:rFonts w:cs="Arial"/>
        </w:rPr>
      </w:pPr>
      <w:r w:rsidRPr="007651A9">
        <w:rPr>
          <w:rFonts w:cs="Arial"/>
        </w:rPr>
        <w:t>P</w:t>
      </w:r>
      <w:r w:rsidR="000F13AC" w:rsidRPr="007651A9">
        <w:rPr>
          <w:rFonts w:cs="Arial"/>
        </w:rPr>
        <w:t>rovide clarification as to the withdrawal process depending on if the property owner or the county issues the Notice of Non-Renewal.</w:t>
      </w:r>
      <w:r w:rsidR="007133D3" w:rsidRPr="007651A9">
        <w:rPr>
          <w:rFonts w:cs="Arial"/>
        </w:rPr>
        <w:t xml:space="preserve"> </w:t>
      </w:r>
    </w:p>
    <w:p w14:paraId="241E4DD3" w14:textId="0D13A9E5" w:rsidR="00AE7307" w:rsidRPr="00E77759" w:rsidRDefault="00E77759" w:rsidP="00E77759">
      <w:pPr>
        <w:spacing w:after="0" w:line="240" w:lineRule="auto"/>
        <w:rPr>
          <w:rFonts w:cs="Arial"/>
        </w:rPr>
      </w:pPr>
      <w:r>
        <w:rPr>
          <w:rFonts w:cs="Arial"/>
        </w:rPr>
        <w:br w:type="page"/>
      </w:r>
    </w:p>
    <w:p w14:paraId="2F644CA5" w14:textId="0FBE5875" w:rsidR="005440E7" w:rsidRPr="0057716E" w:rsidRDefault="005440E7" w:rsidP="00FA6664">
      <w:pPr>
        <w:spacing w:before="240" w:after="240"/>
        <w:rPr>
          <w:rFonts w:cs="Arial"/>
          <w:i/>
          <w:iCs/>
        </w:rPr>
      </w:pPr>
      <w:r w:rsidRPr="0057716E">
        <w:rPr>
          <w:rFonts w:cs="Arial"/>
          <w:i/>
          <w:iCs/>
        </w:rPr>
        <w:lastRenderedPageBreak/>
        <w:t xml:space="preserve">The following were discussed at the </w:t>
      </w:r>
      <w:r w:rsidR="007651A9" w:rsidRPr="0057716E">
        <w:rPr>
          <w:rFonts w:cs="Arial"/>
          <w:i/>
          <w:iCs/>
        </w:rPr>
        <w:t>September</w:t>
      </w:r>
      <w:r w:rsidR="006A22EA" w:rsidRPr="0057716E">
        <w:rPr>
          <w:rFonts w:cs="Arial"/>
          <w:i/>
          <w:iCs/>
        </w:rPr>
        <w:t xml:space="preserve"> Board meeting but not incorporated into </w:t>
      </w:r>
      <w:r w:rsidRPr="0057716E">
        <w:rPr>
          <w:rFonts w:cs="Arial"/>
          <w:i/>
          <w:iCs/>
        </w:rPr>
        <w:t>the Draft version of the County Guidelines</w:t>
      </w:r>
      <w:r w:rsidR="006A22EA" w:rsidRPr="0057716E">
        <w:rPr>
          <w:rFonts w:cs="Arial"/>
          <w:i/>
          <w:iCs/>
        </w:rPr>
        <w:t xml:space="preserve"> for the reasons described below</w:t>
      </w:r>
      <w:r w:rsidRPr="0057716E">
        <w:rPr>
          <w:rFonts w:cs="Arial"/>
          <w:i/>
          <w:iCs/>
        </w:rPr>
        <w:t>:</w:t>
      </w:r>
    </w:p>
    <w:p w14:paraId="76E189EE" w14:textId="37BECEFF" w:rsidR="00750268" w:rsidRPr="0057716E" w:rsidRDefault="00750268" w:rsidP="00110671">
      <w:pPr>
        <w:numPr>
          <w:ilvl w:val="0"/>
          <w:numId w:val="12"/>
        </w:numPr>
        <w:spacing w:before="240" w:after="0"/>
        <w:rPr>
          <w:rFonts w:cs="Arial"/>
          <w:b/>
          <w:bCs/>
        </w:rPr>
      </w:pPr>
      <w:r w:rsidRPr="0057716E">
        <w:rPr>
          <w:rFonts w:cs="Arial"/>
          <w:b/>
          <w:bCs/>
        </w:rPr>
        <w:t>Establish one Agricultural Preserve consisting of all property within the county which is currently encumbered by Williamson Act Contract.</w:t>
      </w:r>
    </w:p>
    <w:p w14:paraId="41FA1D6D" w14:textId="77777777" w:rsidR="00DA0FB8" w:rsidRPr="0057716E" w:rsidRDefault="007651A9" w:rsidP="007651A9">
      <w:pPr>
        <w:pStyle w:val="ListParagraph"/>
        <w:numPr>
          <w:ilvl w:val="0"/>
          <w:numId w:val="35"/>
        </w:numPr>
        <w:spacing w:before="240" w:after="240"/>
        <w:jc w:val="both"/>
        <w:rPr>
          <w:rFonts w:cs="Arial"/>
        </w:rPr>
      </w:pPr>
      <w:r w:rsidRPr="0057716E">
        <w:rPr>
          <w:rFonts w:cs="Arial"/>
        </w:rPr>
        <w:t xml:space="preserve">Even though staff initially recommended the establishment of a single preserve, upon further discussion, staff would recommend leaving the Agricultural Preserves as they are until they can be researched. </w:t>
      </w:r>
    </w:p>
    <w:p w14:paraId="61927153" w14:textId="4E73B133" w:rsidR="00DA0FB8" w:rsidRPr="0057716E" w:rsidRDefault="00DA0FB8" w:rsidP="00DA0FB8">
      <w:pPr>
        <w:pStyle w:val="ListParagraph"/>
        <w:numPr>
          <w:ilvl w:val="0"/>
          <w:numId w:val="36"/>
        </w:numPr>
        <w:spacing w:before="240" w:after="240"/>
        <w:ind w:left="1530"/>
        <w:jc w:val="both"/>
        <w:rPr>
          <w:rFonts w:cs="Arial"/>
        </w:rPr>
      </w:pPr>
      <w:r w:rsidRPr="0057716E">
        <w:rPr>
          <w:rFonts w:cs="Arial"/>
        </w:rPr>
        <w:t xml:space="preserve">A complete list of land that has been placed in Agricultural Preserves by the Board should be made before any major adjustments are made. </w:t>
      </w:r>
    </w:p>
    <w:p w14:paraId="2E0742BA" w14:textId="2F6B49C7" w:rsidR="00750268" w:rsidRPr="0057716E" w:rsidRDefault="007651A9" w:rsidP="007651A9">
      <w:pPr>
        <w:pStyle w:val="ListParagraph"/>
        <w:numPr>
          <w:ilvl w:val="0"/>
          <w:numId w:val="35"/>
        </w:numPr>
        <w:spacing w:before="240" w:after="240"/>
        <w:jc w:val="both"/>
        <w:rPr>
          <w:rFonts w:cs="Arial"/>
        </w:rPr>
      </w:pPr>
      <w:r w:rsidRPr="0057716E">
        <w:rPr>
          <w:rFonts w:cs="Arial"/>
        </w:rPr>
        <w:t xml:space="preserve">Staff will likely bring this recommendation back to the board in the future with a complete list and map of all properties in each adopted Agricultural Preserve. </w:t>
      </w:r>
    </w:p>
    <w:p w14:paraId="072C898A" w14:textId="6C2D2375" w:rsidR="007651A9" w:rsidRPr="0057716E" w:rsidRDefault="007651A9" w:rsidP="007651A9">
      <w:pPr>
        <w:pStyle w:val="ListParagraph"/>
        <w:numPr>
          <w:ilvl w:val="0"/>
          <w:numId w:val="35"/>
        </w:numPr>
        <w:spacing w:before="240" w:after="240"/>
        <w:jc w:val="both"/>
        <w:rPr>
          <w:rFonts w:cs="Arial"/>
        </w:rPr>
      </w:pPr>
      <w:r w:rsidRPr="0057716E">
        <w:rPr>
          <w:rFonts w:cs="Arial"/>
        </w:rPr>
        <w:t xml:space="preserve">Staff will continue to make recommendations on Agricultural Preserve amendments with each relevant project. </w:t>
      </w:r>
    </w:p>
    <w:p w14:paraId="01A7AA5F" w14:textId="089F98DD" w:rsidR="00DC177D" w:rsidRPr="00DC177D" w:rsidRDefault="00DC177D" w:rsidP="00DC177D">
      <w:pPr>
        <w:spacing w:before="240" w:after="240"/>
        <w:rPr>
          <w:rFonts w:cs="Arial"/>
          <w:i/>
          <w:iCs/>
        </w:rPr>
      </w:pPr>
      <w:r w:rsidRPr="00DC177D">
        <w:rPr>
          <w:rFonts w:cs="Arial"/>
          <w:i/>
          <w:iCs/>
        </w:rPr>
        <w:t>The following were not discussed at the September Board meeting however have been incorporated into the Draft version of the County Guidelines for the reasons described below:</w:t>
      </w:r>
    </w:p>
    <w:p w14:paraId="183FB85C" w14:textId="13D9785F" w:rsidR="00DC177D" w:rsidRPr="0057716E" w:rsidRDefault="00DC177D" w:rsidP="00110671">
      <w:pPr>
        <w:numPr>
          <w:ilvl w:val="0"/>
          <w:numId w:val="12"/>
        </w:numPr>
        <w:spacing w:before="240" w:after="0"/>
        <w:rPr>
          <w:rFonts w:cs="Arial"/>
          <w:b/>
          <w:bCs/>
        </w:rPr>
      </w:pPr>
      <w:r w:rsidRPr="0057716E">
        <w:rPr>
          <w:rFonts w:cs="Arial"/>
          <w:b/>
          <w:bCs/>
        </w:rPr>
        <w:t>Revised process for Landowner to issue a Notice of Non-Renewal upon the County.</w:t>
      </w:r>
    </w:p>
    <w:p w14:paraId="5F905D97" w14:textId="5F385FA4" w:rsidR="00DC177D" w:rsidRPr="0057716E" w:rsidRDefault="009B43CB" w:rsidP="00DC177D">
      <w:pPr>
        <w:pStyle w:val="ListParagraph"/>
        <w:numPr>
          <w:ilvl w:val="0"/>
          <w:numId w:val="35"/>
        </w:numPr>
        <w:spacing w:before="240" w:after="240"/>
        <w:jc w:val="both"/>
        <w:rPr>
          <w:rFonts w:cs="Arial"/>
        </w:rPr>
      </w:pPr>
      <w:r w:rsidRPr="0057716E">
        <w:rPr>
          <w:rFonts w:cs="Arial"/>
        </w:rPr>
        <w:t>The process for a landowner to issue a Notice of Non-Renewal upon the County was unclear</w:t>
      </w:r>
      <w:r w:rsidR="00DC177D" w:rsidRPr="0057716E">
        <w:rPr>
          <w:rFonts w:cs="Arial"/>
        </w:rPr>
        <w:t xml:space="preserve">. </w:t>
      </w:r>
    </w:p>
    <w:p w14:paraId="1B646E20" w14:textId="6B952053" w:rsidR="00750268" w:rsidRPr="0057716E" w:rsidRDefault="009B43CB" w:rsidP="00FA6664">
      <w:pPr>
        <w:pStyle w:val="ListParagraph"/>
        <w:numPr>
          <w:ilvl w:val="0"/>
          <w:numId w:val="36"/>
        </w:numPr>
        <w:spacing w:before="240" w:after="240"/>
        <w:ind w:left="1530"/>
        <w:jc w:val="both"/>
        <w:rPr>
          <w:rFonts w:cs="Arial"/>
        </w:rPr>
      </w:pPr>
      <w:r w:rsidRPr="0057716E">
        <w:rPr>
          <w:rFonts w:cs="Arial"/>
        </w:rPr>
        <w:t xml:space="preserve">As very specific information is required for the </w:t>
      </w:r>
      <w:r w:rsidR="00110671">
        <w:rPr>
          <w:rFonts w:cs="Arial"/>
        </w:rPr>
        <w:t>n</w:t>
      </w:r>
      <w:r w:rsidRPr="0057716E">
        <w:rPr>
          <w:rFonts w:cs="Arial"/>
        </w:rPr>
        <w:t xml:space="preserve">otice to be effective, all </w:t>
      </w:r>
      <w:r w:rsidR="00110671" w:rsidRPr="0057716E">
        <w:rPr>
          <w:rFonts w:cs="Arial"/>
        </w:rPr>
        <w:t>non-renewals</w:t>
      </w:r>
      <w:r w:rsidRPr="0057716E">
        <w:rPr>
          <w:rFonts w:cs="Arial"/>
        </w:rPr>
        <w:t xml:space="preserve"> should be processed first through the County</w:t>
      </w:r>
      <w:r w:rsidR="00DC177D" w:rsidRPr="0057716E">
        <w:rPr>
          <w:rFonts w:cs="Arial"/>
        </w:rPr>
        <w:t xml:space="preserve">. </w:t>
      </w:r>
    </w:p>
    <w:p w14:paraId="558938CD" w14:textId="6542792C" w:rsidR="009B43CB" w:rsidRDefault="009B43CB" w:rsidP="00FA6664">
      <w:pPr>
        <w:pStyle w:val="ListParagraph"/>
        <w:numPr>
          <w:ilvl w:val="0"/>
          <w:numId w:val="36"/>
        </w:numPr>
        <w:spacing w:before="240" w:after="240"/>
        <w:ind w:left="1530"/>
        <w:jc w:val="both"/>
        <w:rPr>
          <w:rFonts w:cs="Arial"/>
        </w:rPr>
      </w:pPr>
      <w:r w:rsidRPr="0057716E">
        <w:rPr>
          <w:rFonts w:cs="Arial"/>
        </w:rPr>
        <w:t>In instances where the property to be non-renewed is only a portion of the contract, the Board of Supervisors must approve the request prior to the landowner recording the Notice of Non-Renewal.</w:t>
      </w:r>
    </w:p>
    <w:p w14:paraId="7F84BC1C" w14:textId="77777777" w:rsidR="0057716E" w:rsidRPr="0057716E" w:rsidRDefault="0057716E" w:rsidP="0057716E">
      <w:pPr>
        <w:pStyle w:val="ListParagraph"/>
        <w:spacing w:before="240" w:after="240"/>
        <w:ind w:left="1530"/>
        <w:jc w:val="both"/>
        <w:rPr>
          <w:rFonts w:cs="Arial"/>
        </w:rPr>
      </w:pPr>
    </w:p>
    <w:p w14:paraId="1A253FC5" w14:textId="7519EA84" w:rsidR="0057716E" w:rsidRDefault="009B43CB" w:rsidP="00D60949">
      <w:pPr>
        <w:pStyle w:val="ListParagraph"/>
        <w:numPr>
          <w:ilvl w:val="0"/>
          <w:numId w:val="12"/>
        </w:numPr>
        <w:spacing w:before="240"/>
        <w:jc w:val="both"/>
        <w:rPr>
          <w:rFonts w:cs="Arial"/>
          <w:b/>
          <w:bCs/>
        </w:rPr>
      </w:pPr>
      <w:r w:rsidRPr="0057716E">
        <w:rPr>
          <w:rFonts w:cs="Arial"/>
          <w:b/>
          <w:bCs/>
        </w:rPr>
        <w:t>Expanded Public Acquistion section.</w:t>
      </w:r>
    </w:p>
    <w:p w14:paraId="21DE1942" w14:textId="77777777" w:rsidR="00D60949" w:rsidRPr="00110671" w:rsidRDefault="00D60949" w:rsidP="00D60949">
      <w:pPr>
        <w:pStyle w:val="ListParagraph"/>
        <w:spacing w:before="240"/>
        <w:jc w:val="both"/>
        <w:rPr>
          <w:rFonts w:cs="Arial"/>
          <w:b/>
          <w:bCs/>
        </w:rPr>
      </w:pPr>
    </w:p>
    <w:p w14:paraId="5A639166" w14:textId="77777777" w:rsidR="009B43CB" w:rsidRPr="0057716E" w:rsidRDefault="009B43CB" w:rsidP="009B43CB">
      <w:pPr>
        <w:pStyle w:val="ListParagraph"/>
        <w:numPr>
          <w:ilvl w:val="0"/>
          <w:numId w:val="35"/>
        </w:numPr>
        <w:spacing w:before="240" w:after="240"/>
        <w:jc w:val="both"/>
        <w:rPr>
          <w:rFonts w:cs="Arial"/>
        </w:rPr>
      </w:pPr>
      <w:r w:rsidRPr="0057716E">
        <w:rPr>
          <w:rFonts w:cs="Arial"/>
        </w:rPr>
        <w:t>It was previously understood that when land was acquired by a government agency, the contract became null and void</w:t>
      </w:r>
    </w:p>
    <w:p w14:paraId="01ACB952" w14:textId="0662F66C" w:rsidR="00E77759" w:rsidRPr="00E77759" w:rsidRDefault="009B43CB" w:rsidP="00E77759">
      <w:pPr>
        <w:pStyle w:val="ListParagraph"/>
        <w:numPr>
          <w:ilvl w:val="0"/>
          <w:numId w:val="37"/>
        </w:numPr>
        <w:spacing w:before="240" w:after="240"/>
        <w:jc w:val="both"/>
        <w:rPr>
          <w:rFonts w:cs="Arial"/>
        </w:rPr>
      </w:pPr>
      <w:r w:rsidRPr="0057716E">
        <w:rPr>
          <w:rFonts w:cs="Arial"/>
        </w:rPr>
        <w:t>This is only the case when acquired by eminent domain or in lieu of eminent domain</w:t>
      </w:r>
      <w:r w:rsidR="00E77759">
        <w:rPr>
          <w:rFonts w:cs="Arial"/>
        </w:rPr>
        <w:t xml:space="preserve"> and has been clarified in the update.</w:t>
      </w:r>
    </w:p>
    <w:p w14:paraId="7EADD9A5" w14:textId="50FA6930" w:rsidR="009B43CB" w:rsidRDefault="009B43CB" w:rsidP="009B43CB">
      <w:pPr>
        <w:pStyle w:val="ListParagraph"/>
        <w:numPr>
          <w:ilvl w:val="0"/>
          <w:numId w:val="35"/>
        </w:numPr>
        <w:spacing w:before="240" w:after="240"/>
        <w:jc w:val="both"/>
        <w:rPr>
          <w:rFonts w:cs="Arial"/>
        </w:rPr>
      </w:pPr>
      <w:r w:rsidRPr="0057716E">
        <w:rPr>
          <w:rFonts w:cs="Arial"/>
        </w:rPr>
        <w:t xml:space="preserve">Government agencies must notify the County and allow time to comment prior to the acquisition of land in Agricultural Preserve. </w:t>
      </w:r>
    </w:p>
    <w:p w14:paraId="5C32AFE6" w14:textId="7124F9C9" w:rsidR="00E77759" w:rsidRDefault="00E77759" w:rsidP="00E77759">
      <w:pPr>
        <w:pStyle w:val="ListParagraph"/>
        <w:numPr>
          <w:ilvl w:val="1"/>
          <w:numId w:val="35"/>
        </w:numPr>
        <w:spacing w:before="240" w:after="240"/>
        <w:jc w:val="both"/>
        <w:rPr>
          <w:rFonts w:cs="Arial"/>
        </w:rPr>
      </w:pPr>
      <w:r>
        <w:rPr>
          <w:rFonts w:cs="Arial"/>
        </w:rPr>
        <w:t>This process has also been incorporated into the update.</w:t>
      </w:r>
    </w:p>
    <w:p w14:paraId="4620DDB8" w14:textId="77777777" w:rsidR="0057716E" w:rsidRPr="0057716E" w:rsidRDefault="0057716E" w:rsidP="0057716E">
      <w:pPr>
        <w:pStyle w:val="ListParagraph"/>
        <w:spacing w:before="240" w:after="240"/>
        <w:ind w:left="1080"/>
        <w:jc w:val="both"/>
        <w:rPr>
          <w:rFonts w:cs="Arial"/>
        </w:rPr>
      </w:pPr>
    </w:p>
    <w:p w14:paraId="36E2FEF4" w14:textId="4641A9C9" w:rsidR="0057716E" w:rsidRDefault="0057716E" w:rsidP="0057716E">
      <w:pPr>
        <w:pStyle w:val="ListParagraph"/>
        <w:numPr>
          <w:ilvl w:val="0"/>
          <w:numId w:val="12"/>
        </w:numPr>
        <w:spacing w:before="240" w:after="240"/>
        <w:jc w:val="both"/>
        <w:rPr>
          <w:rFonts w:cs="Arial"/>
          <w:b/>
          <w:bCs/>
        </w:rPr>
      </w:pPr>
      <w:r w:rsidRPr="0057716E">
        <w:rPr>
          <w:rFonts w:cs="Arial"/>
          <w:b/>
          <w:bCs/>
        </w:rPr>
        <w:t>Property under Williamson Act contract can be Rezoned to Timber Production Zoning (TPZ)</w:t>
      </w:r>
    </w:p>
    <w:p w14:paraId="0759845D" w14:textId="77777777" w:rsidR="00D60949" w:rsidRPr="0057716E" w:rsidRDefault="00D60949" w:rsidP="00D60949">
      <w:pPr>
        <w:pStyle w:val="ListParagraph"/>
        <w:spacing w:before="240" w:after="240"/>
        <w:jc w:val="both"/>
        <w:rPr>
          <w:rFonts w:cs="Arial"/>
          <w:b/>
          <w:bCs/>
        </w:rPr>
      </w:pPr>
    </w:p>
    <w:p w14:paraId="166DC144" w14:textId="5984D1B4" w:rsidR="0057716E" w:rsidRPr="0057716E" w:rsidRDefault="0057716E" w:rsidP="0057716E">
      <w:pPr>
        <w:pStyle w:val="ListParagraph"/>
        <w:numPr>
          <w:ilvl w:val="0"/>
          <w:numId w:val="35"/>
        </w:numPr>
        <w:spacing w:before="240" w:after="240"/>
        <w:jc w:val="both"/>
        <w:rPr>
          <w:rFonts w:cs="Arial"/>
        </w:rPr>
      </w:pPr>
      <w:r w:rsidRPr="0057716E">
        <w:rPr>
          <w:rFonts w:cs="Arial"/>
        </w:rPr>
        <w:t xml:space="preserve">This section was added to make landowners aware that if the Use of their property changed from the approved use in their contract to Timber Production, they do have the option to rezone to TPZ, should their property qualify. </w:t>
      </w:r>
    </w:p>
    <w:p w14:paraId="52DFAF9F" w14:textId="6A615820" w:rsidR="009B43CB" w:rsidRDefault="00E77759" w:rsidP="00E77759">
      <w:pPr>
        <w:spacing w:after="0" w:line="240" w:lineRule="auto"/>
        <w:rPr>
          <w:rFonts w:cs="Arial"/>
        </w:rPr>
      </w:pPr>
      <w:r>
        <w:rPr>
          <w:rFonts w:cs="Arial"/>
        </w:rPr>
        <w:br w:type="page"/>
      </w:r>
    </w:p>
    <w:p w14:paraId="67B72748" w14:textId="77777777" w:rsidR="00E77759" w:rsidRPr="00E77759" w:rsidRDefault="00E77759" w:rsidP="00E77759">
      <w:pPr>
        <w:pStyle w:val="Heading2"/>
        <w:spacing w:before="0" w:after="240"/>
        <w:rPr>
          <w:rFonts w:ascii="Arial" w:hAnsi="Arial" w:cs="Arial"/>
          <w:color w:val="auto"/>
        </w:rPr>
      </w:pPr>
      <w:r w:rsidRPr="00E77759">
        <w:rPr>
          <w:rFonts w:ascii="Arial" w:hAnsi="Arial" w:cs="Arial"/>
          <w:color w:val="auto"/>
        </w:rPr>
        <w:lastRenderedPageBreak/>
        <w:t>Comments</w:t>
      </w:r>
    </w:p>
    <w:p w14:paraId="786AEF96" w14:textId="54A460C0" w:rsidR="00E77759" w:rsidRDefault="00E77759" w:rsidP="00E77759">
      <w:pPr>
        <w:rPr>
          <w:color w:val="000000" w:themeColor="text1"/>
        </w:rPr>
      </w:pPr>
      <w:r w:rsidRPr="00E77759">
        <w:rPr>
          <w:color w:val="000000" w:themeColor="text1"/>
        </w:rPr>
        <w:t xml:space="preserve">Notice of the project was published and posted as required prior to the Board of Supervisors meeting and no </w:t>
      </w:r>
      <w:r>
        <w:rPr>
          <w:color w:val="000000" w:themeColor="text1"/>
        </w:rPr>
        <w:t xml:space="preserve">agency </w:t>
      </w:r>
      <w:r w:rsidRPr="00E77759">
        <w:rPr>
          <w:color w:val="000000" w:themeColor="text1"/>
        </w:rPr>
        <w:t>comment were received as of the preparation of this staff report.</w:t>
      </w:r>
    </w:p>
    <w:p w14:paraId="168698A2" w14:textId="1B8B5003" w:rsidR="00E77759" w:rsidRPr="00D6229E" w:rsidRDefault="00E77759" w:rsidP="00E77759">
      <w:pPr>
        <w:rPr>
          <w:rFonts w:ascii="Arial" w:hAnsi="Arial" w:cs="Arial"/>
          <w:color w:val="000000" w:themeColor="text1"/>
          <w:sz w:val="24"/>
          <w:szCs w:val="24"/>
          <w:u w:val="single"/>
        </w:rPr>
      </w:pPr>
      <w:r w:rsidRPr="00D6229E">
        <w:rPr>
          <w:rFonts w:ascii="Arial" w:hAnsi="Arial" w:cs="Arial"/>
          <w:color w:val="000000" w:themeColor="text1"/>
          <w:sz w:val="24"/>
          <w:szCs w:val="24"/>
          <w:u w:val="single"/>
        </w:rPr>
        <w:t>Public Comments</w:t>
      </w:r>
    </w:p>
    <w:p w14:paraId="77936854" w14:textId="02D15D80" w:rsidR="00E77759" w:rsidRPr="00E77759" w:rsidRDefault="00E77759" w:rsidP="00E77759">
      <w:pPr>
        <w:spacing w:before="120" w:after="240"/>
        <w:rPr>
          <w:rFonts w:cstheme="minorHAnsi"/>
          <w:b/>
          <w:bCs/>
          <w:i/>
          <w:iCs/>
          <w:kern w:val="0"/>
          <w:u w:val="single"/>
          <w14:ligatures w14:val="none"/>
        </w:rPr>
      </w:pPr>
      <w:r w:rsidRPr="00E77759">
        <w:rPr>
          <w:rFonts w:cstheme="minorHAnsi"/>
          <w:b/>
          <w:bCs/>
          <w:i/>
          <w:iCs/>
          <w:kern w:val="0"/>
          <w:u w:val="single"/>
          <w14:ligatures w14:val="none"/>
        </w:rPr>
        <w:t>Mark Coats – October 4, 2024</w:t>
      </w:r>
    </w:p>
    <w:p w14:paraId="6D16508E" w14:textId="2FE5D157" w:rsidR="00E77759" w:rsidRPr="00E77759" w:rsidRDefault="00E77759" w:rsidP="00E77759">
      <w:pPr>
        <w:spacing w:before="120" w:after="240"/>
        <w:rPr>
          <w:color w:val="000000" w:themeColor="text1"/>
        </w:rPr>
      </w:pPr>
      <w:r w:rsidRPr="00E77759">
        <w:rPr>
          <w:color w:val="000000" w:themeColor="text1"/>
        </w:rPr>
        <w:t xml:space="preserve">Mr. Coats gave background on his ranch regarding </w:t>
      </w:r>
      <w:r w:rsidR="00346867">
        <w:rPr>
          <w:color w:val="000000" w:themeColor="text1"/>
        </w:rPr>
        <w:t xml:space="preserve">use and </w:t>
      </w:r>
      <w:r w:rsidRPr="00E77759">
        <w:rPr>
          <w:color w:val="000000" w:themeColor="text1"/>
        </w:rPr>
        <w:t xml:space="preserve">entry in the Williamson Act program. He expressed his </w:t>
      </w:r>
      <w:r w:rsidR="00346867">
        <w:rPr>
          <w:color w:val="000000" w:themeColor="text1"/>
        </w:rPr>
        <w:t>interest</w:t>
      </w:r>
      <w:r w:rsidRPr="00E77759">
        <w:rPr>
          <w:color w:val="000000" w:themeColor="text1"/>
        </w:rPr>
        <w:t xml:space="preserve"> in </w:t>
      </w:r>
      <w:r w:rsidR="00346867">
        <w:rPr>
          <w:color w:val="000000" w:themeColor="text1"/>
        </w:rPr>
        <w:t>r</w:t>
      </w:r>
      <w:r w:rsidR="00346867" w:rsidRPr="00E77759">
        <w:rPr>
          <w:color w:val="000000" w:themeColor="text1"/>
        </w:rPr>
        <w:t>eentry</w:t>
      </w:r>
      <w:r w:rsidRPr="00E77759">
        <w:rPr>
          <w:color w:val="000000" w:themeColor="text1"/>
        </w:rPr>
        <w:t xml:space="preserve"> in the program.</w:t>
      </w:r>
    </w:p>
    <w:p w14:paraId="5047A5F9" w14:textId="77777777" w:rsidR="00E77759" w:rsidRPr="00110671" w:rsidRDefault="00E77759" w:rsidP="00E77759">
      <w:pPr>
        <w:spacing w:after="0" w:line="240" w:lineRule="auto"/>
        <w:rPr>
          <w:rFonts w:cs="Arial"/>
        </w:rPr>
      </w:pPr>
    </w:p>
    <w:p w14:paraId="63C513B8" w14:textId="77777777" w:rsidR="00110671" w:rsidRPr="00110671" w:rsidRDefault="00110671" w:rsidP="00110671">
      <w:pPr>
        <w:pStyle w:val="Heading2"/>
        <w:rPr>
          <w:rFonts w:ascii="Arial" w:hAnsi="Arial" w:cs="Arial"/>
          <w:color w:val="auto"/>
        </w:rPr>
      </w:pPr>
      <w:r w:rsidRPr="00110671">
        <w:rPr>
          <w:rFonts w:ascii="Arial" w:hAnsi="Arial" w:cs="Arial"/>
          <w:color w:val="auto"/>
        </w:rPr>
        <w:t>Recommended Motions</w:t>
      </w:r>
    </w:p>
    <w:p w14:paraId="1A926B4A" w14:textId="77777777" w:rsidR="00110671" w:rsidRPr="00110671" w:rsidRDefault="00110671" w:rsidP="00110671">
      <w:r w:rsidRPr="00110671">
        <w:t>I move to adopt the Resolution hereby taking the following actions:</w:t>
      </w:r>
    </w:p>
    <w:p w14:paraId="7E2AA981" w14:textId="77777777" w:rsidR="00110671" w:rsidRPr="00110671" w:rsidRDefault="00110671" w:rsidP="00110671">
      <w:pPr>
        <w:numPr>
          <w:ilvl w:val="0"/>
          <w:numId w:val="8"/>
        </w:numPr>
        <w:contextualSpacing/>
      </w:pPr>
      <w:r w:rsidRPr="00110671">
        <w:t xml:space="preserve">Determine the amendments to the </w:t>
      </w:r>
      <w:r w:rsidRPr="00110671">
        <w:rPr>
          <w:bCs/>
          <w:i/>
          <w:iCs/>
        </w:rPr>
        <w:t xml:space="preserve">Rules for the Establishment and Administration of Agricultural Preserves and Williamson Act Contracts </w:t>
      </w:r>
      <w:r w:rsidRPr="00110671">
        <w:rPr>
          <w:bCs/>
        </w:rPr>
        <w:t>be</w:t>
      </w:r>
      <w:r w:rsidRPr="00110671">
        <w:rPr>
          <w:bCs/>
          <w:i/>
          <w:iCs/>
        </w:rPr>
        <w:t xml:space="preserve"> </w:t>
      </w:r>
      <w:r w:rsidRPr="00110671">
        <w:rPr>
          <w:bCs/>
        </w:rPr>
        <w:t>categorically exempt from the California Environmental Quality Act (CEQA) pursuant to Sections 15307 and 15061(b)(3) of the CEQA Guidelines</w:t>
      </w:r>
      <w:r w:rsidRPr="00110671">
        <w:t>; and</w:t>
      </w:r>
    </w:p>
    <w:p w14:paraId="45B5BFD6" w14:textId="77777777" w:rsidR="00110671" w:rsidRPr="00110671" w:rsidRDefault="00110671" w:rsidP="00110671">
      <w:pPr>
        <w:numPr>
          <w:ilvl w:val="0"/>
          <w:numId w:val="8"/>
        </w:numPr>
        <w:contextualSpacing/>
      </w:pPr>
      <w:r w:rsidRPr="00110671">
        <w:t>The Siskiyou County Board of Supervisors do hereby adopt the amendments to Rules for the Establishment and Administration of Agricultural Preserves and Williamson Act Contracts attached as Exhibit A of this Resolution attached and incorporated herein.</w:t>
      </w:r>
    </w:p>
    <w:p w14:paraId="705294E1" w14:textId="77777777" w:rsidR="00BA6FF9" w:rsidRPr="00110671" w:rsidRDefault="00124746" w:rsidP="00CF4867">
      <w:pPr>
        <w:pStyle w:val="Heading2"/>
        <w:rPr>
          <w:rFonts w:ascii="Arial" w:hAnsi="Arial" w:cs="Arial"/>
          <w:color w:val="auto"/>
        </w:rPr>
      </w:pPr>
      <w:r w:rsidRPr="00110671">
        <w:rPr>
          <w:rFonts w:ascii="Arial" w:hAnsi="Arial" w:cs="Arial"/>
          <w:color w:val="auto"/>
        </w:rPr>
        <w:t>Attachments</w:t>
      </w:r>
    </w:p>
    <w:p w14:paraId="6BAF7CDE" w14:textId="77777777" w:rsidR="00110671" w:rsidRPr="00110671" w:rsidRDefault="00110671" w:rsidP="00110671">
      <w:pPr>
        <w:pStyle w:val="ListParagraph"/>
        <w:numPr>
          <w:ilvl w:val="0"/>
          <w:numId w:val="9"/>
        </w:numPr>
        <w:rPr>
          <w:rFonts w:cs="Arial"/>
          <w:bCs/>
        </w:rPr>
      </w:pPr>
      <w:r w:rsidRPr="00110671">
        <w:rPr>
          <w:rFonts w:cs="Arial"/>
          <w:bCs/>
        </w:rPr>
        <w:t>Draft Resolution, a Resolution of the County of Siskiyou, State of California, Amending the Rules for the Establishment and Administration of Agricultural Preserves and Williamson Act Contracts</w:t>
      </w:r>
    </w:p>
    <w:p w14:paraId="46563CD8" w14:textId="55D926E5" w:rsidR="00110671" w:rsidRPr="00110671" w:rsidRDefault="00110671" w:rsidP="009F7321">
      <w:pPr>
        <w:pStyle w:val="ListParagraph"/>
        <w:numPr>
          <w:ilvl w:val="3"/>
          <w:numId w:val="25"/>
        </w:numPr>
        <w:ind w:left="990" w:hanging="270"/>
        <w:rPr>
          <w:rFonts w:cs="Arial"/>
          <w:bCs/>
        </w:rPr>
      </w:pPr>
      <w:r w:rsidRPr="00110671">
        <w:rPr>
          <w:rFonts w:cs="Arial"/>
          <w:bCs/>
        </w:rPr>
        <w:t>Exhibit A within Draft Resolution: Proposed Amendments to the Rules for the Establishment and Administration of Agricultural Preserves and Williamson Act Contracts</w:t>
      </w:r>
    </w:p>
    <w:p w14:paraId="4E6A3ACA" w14:textId="52A4B889" w:rsidR="00DE0166" w:rsidRPr="00110671" w:rsidRDefault="00DE0166" w:rsidP="00CE493F">
      <w:pPr>
        <w:pStyle w:val="ListParagraph"/>
        <w:numPr>
          <w:ilvl w:val="0"/>
          <w:numId w:val="9"/>
        </w:numPr>
        <w:rPr>
          <w:rFonts w:cs="Arial"/>
          <w:bCs/>
        </w:rPr>
      </w:pPr>
      <w:r w:rsidRPr="00110671">
        <w:rPr>
          <w:rFonts w:cs="Arial"/>
        </w:rPr>
        <w:t>Rules for the Establishment and Administration of Agricultural Preserves and Williamson Act Contracts, Revised 11/12/2024 (clean copy)</w:t>
      </w:r>
    </w:p>
    <w:p w14:paraId="65C72484" w14:textId="59FE0F02" w:rsidR="008447E3" w:rsidRPr="008447E3" w:rsidRDefault="008447E3" w:rsidP="00CE493F">
      <w:pPr>
        <w:pStyle w:val="ListParagraph"/>
        <w:numPr>
          <w:ilvl w:val="0"/>
          <w:numId w:val="9"/>
        </w:numPr>
        <w:rPr>
          <w:rFonts w:cs="Arial"/>
          <w:bCs/>
        </w:rPr>
      </w:pPr>
      <w:r w:rsidRPr="008447E3">
        <w:rPr>
          <w:rFonts w:cs="Arial"/>
        </w:rPr>
        <w:t>Comments</w:t>
      </w:r>
    </w:p>
    <w:sectPr w:rsidR="008447E3" w:rsidRPr="008447E3"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AEC8" w14:textId="086EE232" w:rsidR="008406F4" w:rsidRDefault="0082150D" w:rsidP="005F4F8E">
    <w:pPr>
      <w:pStyle w:val="Footer"/>
      <w:tabs>
        <w:tab w:val="clear" w:pos="4320"/>
        <w:tab w:val="clear" w:pos="8640"/>
        <w:tab w:val="right" w:pos="9900"/>
      </w:tabs>
    </w:pPr>
    <w:r>
      <w:rPr>
        <w:rFonts w:cs="Arial"/>
      </w:rPr>
      <w:t xml:space="preserve">Rules for the Establishment and Administration of Agricultural Preserves and </w:t>
    </w:r>
    <w:r>
      <w:rPr>
        <w:rFonts w:cs="Arial"/>
      </w:rPr>
      <w:br/>
      <w:t>Williamson Act Contracts</w:t>
    </w:r>
    <w:r w:rsidR="00EF2096">
      <w:rPr>
        <w:rFonts w:cs="Arial"/>
      </w:rPr>
      <w:t xml:space="preserve"> - Update</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C7CFF"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C0384"/>
    <w:multiLevelType w:val="hybridMultilevel"/>
    <w:tmpl w:val="4DC2A0C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0213C2"/>
    <w:multiLevelType w:val="hybridMultilevel"/>
    <w:tmpl w:val="5616FBB4"/>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420AE1"/>
    <w:multiLevelType w:val="hybridMultilevel"/>
    <w:tmpl w:val="D73213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A867DA"/>
    <w:multiLevelType w:val="hybridMultilevel"/>
    <w:tmpl w:val="A2D677AE"/>
    <w:lvl w:ilvl="0" w:tplc="41C69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535B58"/>
    <w:multiLevelType w:val="hybridMultilevel"/>
    <w:tmpl w:val="E6E69900"/>
    <w:lvl w:ilvl="0" w:tplc="FB244430">
      <w:start w:val="1"/>
      <w:numFmt w:val="decimal"/>
      <w:lvlText w:val="%1."/>
      <w:lvlJc w:val="left"/>
      <w:pPr>
        <w:ind w:left="720" w:hanging="360"/>
      </w:pPr>
      <w:rPr>
        <w:rFonts w:hint="default"/>
        <w:i w:val="0"/>
        <w:i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FF4FF9"/>
    <w:multiLevelType w:val="hybridMultilevel"/>
    <w:tmpl w:val="A2564A6E"/>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D3645B1"/>
    <w:multiLevelType w:val="hybridMultilevel"/>
    <w:tmpl w:val="C1C8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55F97"/>
    <w:multiLevelType w:val="hybridMultilevel"/>
    <w:tmpl w:val="3C42390A"/>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965FA6"/>
    <w:multiLevelType w:val="hybridMultilevel"/>
    <w:tmpl w:val="6D6C4842"/>
    <w:lvl w:ilvl="0" w:tplc="2B8E6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2D7C51"/>
    <w:multiLevelType w:val="hybridMultilevel"/>
    <w:tmpl w:val="03C61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465CC8"/>
    <w:multiLevelType w:val="hybridMultilevel"/>
    <w:tmpl w:val="E86C3BC0"/>
    <w:lvl w:ilvl="0" w:tplc="04090017">
      <w:start w:val="1"/>
      <w:numFmt w:val="lowerLetter"/>
      <w:lvlText w:val="%1)"/>
      <w:lvlJc w:val="left"/>
      <w:pPr>
        <w:ind w:left="1080" w:hanging="360"/>
      </w:p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700" w:hanging="360"/>
      </w:pPr>
      <w:rPr>
        <w:rFonts w:ascii="Courier New" w:hAnsi="Courier New" w:cs="Courier New" w:hint="default"/>
      </w:rPr>
    </w:lvl>
    <w:lvl w:ilvl="3" w:tplc="C4102B0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6369F7"/>
    <w:multiLevelType w:val="hybridMultilevel"/>
    <w:tmpl w:val="CED0B1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0529F8"/>
    <w:multiLevelType w:val="hybridMultilevel"/>
    <w:tmpl w:val="3B4C470E"/>
    <w:lvl w:ilvl="0" w:tplc="07AEF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E0393A"/>
    <w:multiLevelType w:val="hybridMultilevel"/>
    <w:tmpl w:val="CBF058C4"/>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15482"/>
    <w:multiLevelType w:val="hybridMultilevel"/>
    <w:tmpl w:val="435C9BA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FD4625C"/>
    <w:multiLevelType w:val="hybridMultilevel"/>
    <w:tmpl w:val="54B41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E20A91"/>
    <w:multiLevelType w:val="hybridMultilevel"/>
    <w:tmpl w:val="9DDEBC2C"/>
    <w:lvl w:ilvl="0" w:tplc="3D16C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17C6A"/>
    <w:multiLevelType w:val="hybridMultilevel"/>
    <w:tmpl w:val="2CA4F2E0"/>
    <w:lvl w:ilvl="0" w:tplc="40DA5198">
      <w:start w:val="1"/>
      <w:numFmt w:val="lowerLetter"/>
      <w:lvlText w:val="%1)"/>
      <w:lvlJc w:val="left"/>
      <w:pPr>
        <w:ind w:left="1080" w:hanging="360"/>
      </w:pPr>
      <w:rPr>
        <w:rFonts w:hint="default"/>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8147CCA"/>
    <w:multiLevelType w:val="hybridMultilevel"/>
    <w:tmpl w:val="A92EEF06"/>
    <w:lvl w:ilvl="0" w:tplc="5C405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4435B3"/>
    <w:multiLevelType w:val="hybridMultilevel"/>
    <w:tmpl w:val="B07C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C44F3"/>
    <w:multiLevelType w:val="hybridMultilevel"/>
    <w:tmpl w:val="CCDA67D4"/>
    <w:lvl w:ilvl="0" w:tplc="E4506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E22D09"/>
    <w:multiLevelType w:val="hybridMultilevel"/>
    <w:tmpl w:val="22464D8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D72454B"/>
    <w:multiLevelType w:val="hybridMultilevel"/>
    <w:tmpl w:val="1116C7E0"/>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DB5AC1"/>
    <w:multiLevelType w:val="hybridMultilevel"/>
    <w:tmpl w:val="64E6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CC2EE7"/>
    <w:multiLevelType w:val="hybridMultilevel"/>
    <w:tmpl w:val="00644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9A5AF0"/>
    <w:multiLevelType w:val="hybridMultilevel"/>
    <w:tmpl w:val="F36AABF2"/>
    <w:lvl w:ilvl="0" w:tplc="1DCCA2F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B509A0"/>
    <w:multiLevelType w:val="hybridMultilevel"/>
    <w:tmpl w:val="F20E9D7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4BE6E89"/>
    <w:multiLevelType w:val="hybridMultilevel"/>
    <w:tmpl w:val="9FC60972"/>
    <w:lvl w:ilvl="0" w:tplc="04090003">
      <w:start w:val="1"/>
      <w:numFmt w:val="bullet"/>
      <w:lvlText w:val="o"/>
      <w:lvlJc w:val="left"/>
      <w:pPr>
        <w:ind w:left="1484" w:hanging="360"/>
      </w:pPr>
      <w:rPr>
        <w:rFonts w:ascii="Courier New" w:hAnsi="Courier New" w:cs="Courier New"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34"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A3B3C"/>
    <w:multiLevelType w:val="hybridMultilevel"/>
    <w:tmpl w:val="F2681952"/>
    <w:lvl w:ilvl="0" w:tplc="3A9A8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23"/>
  </w:num>
  <w:num w:numId="2" w16cid:durableId="1168786036">
    <w:abstractNumId w:val="11"/>
  </w:num>
  <w:num w:numId="3" w16cid:durableId="389812592">
    <w:abstractNumId w:val="15"/>
  </w:num>
  <w:num w:numId="4" w16cid:durableId="327486139">
    <w:abstractNumId w:val="28"/>
  </w:num>
  <w:num w:numId="5" w16cid:durableId="253172352">
    <w:abstractNumId w:val="36"/>
  </w:num>
  <w:num w:numId="6" w16cid:durableId="1816683177">
    <w:abstractNumId w:val="20"/>
  </w:num>
  <w:num w:numId="7" w16cid:durableId="2115129267">
    <w:abstractNumId w:val="34"/>
  </w:num>
  <w:num w:numId="8" w16cid:durableId="1270772652">
    <w:abstractNumId w:val="0"/>
  </w:num>
  <w:num w:numId="9" w16cid:durableId="1257522188">
    <w:abstractNumId w:val="16"/>
  </w:num>
  <w:num w:numId="10" w16cid:durableId="1217276067">
    <w:abstractNumId w:val="7"/>
  </w:num>
  <w:num w:numId="11" w16cid:durableId="583999547">
    <w:abstractNumId w:val="35"/>
  </w:num>
  <w:num w:numId="12" w16cid:durableId="1937865394">
    <w:abstractNumId w:val="5"/>
  </w:num>
  <w:num w:numId="13" w16cid:durableId="1255820389">
    <w:abstractNumId w:val="9"/>
  </w:num>
  <w:num w:numId="14" w16cid:durableId="2081292908">
    <w:abstractNumId w:val="4"/>
  </w:num>
  <w:num w:numId="15" w16cid:durableId="797114854">
    <w:abstractNumId w:val="25"/>
  </w:num>
  <w:num w:numId="16" w16cid:durableId="1950695018">
    <w:abstractNumId w:val="29"/>
  </w:num>
  <w:num w:numId="17" w16cid:durableId="79062647">
    <w:abstractNumId w:val="19"/>
  </w:num>
  <w:num w:numId="18" w16cid:durableId="1659921322">
    <w:abstractNumId w:val="22"/>
  </w:num>
  <w:num w:numId="19" w16cid:durableId="1133673416">
    <w:abstractNumId w:val="14"/>
  </w:num>
  <w:num w:numId="20" w16cid:durableId="972489394">
    <w:abstractNumId w:val="31"/>
  </w:num>
  <w:num w:numId="21" w16cid:durableId="1843005746">
    <w:abstractNumId w:val="1"/>
  </w:num>
  <w:num w:numId="22" w16cid:durableId="347562068">
    <w:abstractNumId w:val="13"/>
  </w:num>
  <w:num w:numId="23" w16cid:durableId="1323508159">
    <w:abstractNumId w:val="6"/>
  </w:num>
  <w:num w:numId="24" w16cid:durableId="854536122">
    <w:abstractNumId w:val="2"/>
  </w:num>
  <w:num w:numId="25" w16cid:durableId="1715275056">
    <w:abstractNumId w:val="12"/>
  </w:num>
  <w:num w:numId="26" w16cid:durableId="1840079109">
    <w:abstractNumId w:val="26"/>
  </w:num>
  <w:num w:numId="27" w16cid:durableId="358819255">
    <w:abstractNumId w:val="27"/>
  </w:num>
  <w:num w:numId="28" w16cid:durableId="2128232515">
    <w:abstractNumId w:val="8"/>
  </w:num>
  <w:num w:numId="29" w16cid:durableId="1356543119">
    <w:abstractNumId w:val="21"/>
  </w:num>
  <w:num w:numId="30" w16cid:durableId="1167553982">
    <w:abstractNumId w:val="24"/>
  </w:num>
  <w:num w:numId="31" w16cid:durableId="1512915155">
    <w:abstractNumId w:val="10"/>
  </w:num>
  <w:num w:numId="32" w16cid:durableId="1954634412">
    <w:abstractNumId w:val="18"/>
  </w:num>
  <w:num w:numId="33" w16cid:durableId="1562057768">
    <w:abstractNumId w:val="30"/>
  </w:num>
  <w:num w:numId="34" w16cid:durableId="984554785">
    <w:abstractNumId w:val="17"/>
  </w:num>
  <w:num w:numId="35" w16cid:durableId="1774208784">
    <w:abstractNumId w:val="3"/>
  </w:num>
  <w:num w:numId="36" w16cid:durableId="1688022995">
    <w:abstractNumId w:val="32"/>
  </w:num>
  <w:num w:numId="37" w16cid:durableId="698151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33D6"/>
    <w:rsid w:val="00022441"/>
    <w:rsid w:val="00026AD9"/>
    <w:rsid w:val="00032BE1"/>
    <w:rsid w:val="00032BEB"/>
    <w:rsid w:val="00034D93"/>
    <w:rsid w:val="00035E84"/>
    <w:rsid w:val="00043B8C"/>
    <w:rsid w:val="0004737E"/>
    <w:rsid w:val="00057412"/>
    <w:rsid w:val="0007011D"/>
    <w:rsid w:val="0007573F"/>
    <w:rsid w:val="00075F98"/>
    <w:rsid w:val="000765F9"/>
    <w:rsid w:val="000775DA"/>
    <w:rsid w:val="00083CEB"/>
    <w:rsid w:val="00085FA3"/>
    <w:rsid w:val="000A6252"/>
    <w:rsid w:val="000C7D2F"/>
    <w:rsid w:val="000C7E47"/>
    <w:rsid w:val="000E6CB3"/>
    <w:rsid w:val="000F13AC"/>
    <w:rsid w:val="001052CF"/>
    <w:rsid w:val="00110671"/>
    <w:rsid w:val="0011207D"/>
    <w:rsid w:val="00121A09"/>
    <w:rsid w:val="00124596"/>
    <w:rsid w:val="00124746"/>
    <w:rsid w:val="001319F9"/>
    <w:rsid w:val="00136716"/>
    <w:rsid w:val="0014513F"/>
    <w:rsid w:val="001529C3"/>
    <w:rsid w:val="00160AF7"/>
    <w:rsid w:val="00162F61"/>
    <w:rsid w:val="0016441B"/>
    <w:rsid w:val="0016530F"/>
    <w:rsid w:val="0017292F"/>
    <w:rsid w:val="001816A6"/>
    <w:rsid w:val="00182E63"/>
    <w:rsid w:val="001964C1"/>
    <w:rsid w:val="001A752A"/>
    <w:rsid w:val="001B2AF0"/>
    <w:rsid w:val="001B3A24"/>
    <w:rsid w:val="001B5780"/>
    <w:rsid w:val="001B719D"/>
    <w:rsid w:val="001C23BD"/>
    <w:rsid w:val="001C48C0"/>
    <w:rsid w:val="001C6571"/>
    <w:rsid w:val="001D2DC5"/>
    <w:rsid w:val="001D6644"/>
    <w:rsid w:val="001E0243"/>
    <w:rsid w:val="001F1F5A"/>
    <w:rsid w:val="001F5E62"/>
    <w:rsid w:val="001F76F3"/>
    <w:rsid w:val="001F7FE6"/>
    <w:rsid w:val="00201396"/>
    <w:rsid w:val="00216824"/>
    <w:rsid w:val="002176AD"/>
    <w:rsid w:val="00220D28"/>
    <w:rsid w:val="00222E41"/>
    <w:rsid w:val="00230F31"/>
    <w:rsid w:val="00236673"/>
    <w:rsid w:val="002418B8"/>
    <w:rsid w:val="00243CFD"/>
    <w:rsid w:val="0024400C"/>
    <w:rsid w:val="00244EF3"/>
    <w:rsid w:val="00247892"/>
    <w:rsid w:val="00250585"/>
    <w:rsid w:val="00251FA1"/>
    <w:rsid w:val="002542D4"/>
    <w:rsid w:val="00255685"/>
    <w:rsid w:val="00265783"/>
    <w:rsid w:val="00266BCD"/>
    <w:rsid w:val="002756BD"/>
    <w:rsid w:val="00276903"/>
    <w:rsid w:val="002819CB"/>
    <w:rsid w:val="00281F83"/>
    <w:rsid w:val="00283FC9"/>
    <w:rsid w:val="0029544A"/>
    <w:rsid w:val="002A1B5A"/>
    <w:rsid w:val="002A3E8D"/>
    <w:rsid w:val="002B79A8"/>
    <w:rsid w:val="002B7C6D"/>
    <w:rsid w:val="002C2294"/>
    <w:rsid w:val="002C5C17"/>
    <w:rsid w:val="002C6138"/>
    <w:rsid w:val="002C7CF6"/>
    <w:rsid w:val="002D148E"/>
    <w:rsid w:val="002D1780"/>
    <w:rsid w:val="002D722D"/>
    <w:rsid w:val="002E3221"/>
    <w:rsid w:val="002E5D70"/>
    <w:rsid w:val="002F5869"/>
    <w:rsid w:val="003009C4"/>
    <w:rsid w:val="00301FD0"/>
    <w:rsid w:val="00303249"/>
    <w:rsid w:val="00320759"/>
    <w:rsid w:val="00320FE7"/>
    <w:rsid w:val="0032598B"/>
    <w:rsid w:val="00325DAD"/>
    <w:rsid w:val="00326C8B"/>
    <w:rsid w:val="00332537"/>
    <w:rsid w:val="00343CBA"/>
    <w:rsid w:val="00346867"/>
    <w:rsid w:val="00350044"/>
    <w:rsid w:val="00350FB5"/>
    <w:rsid w:val="0035147E"/>
    <w:rsid w:val="003516F3"/>
    <w:rsid w:val="00360D79"/>
    <w:rsid w:val="00364DD3"/>
    <w:rsid w:val="003655F9"/>
    <w:rsid w:val="0037050F"/>
    <w:rsid w:val="0037153F"/>
    <w:rsid w:val="00373BAB"/>
    <w:rsid w:val="003761BA"/>
    <w:rsid w:val="0037663B"/>
    <w:rsid w:val="00381611"/>
    <w:rsid w:val="003838A1"/>
    <w:rsid w:val="00391AE5"/>
    <w:rsid w:val="003926AD"/>
    <w:rsid w:val="00393FD4"/>
    <w:rsid w:val="00394505"/>
    <w:rsid w:val="00394C00"/>
    <w:rsid w:val="003A0E4A"/>
    <w:rsid w:val="003A3F83"/>
    <w:rsid w:val="003A41FC"/>
    <w:rsid w:val="003B2FCA"/>
    <w:rsid w:val="003B333B"/>
    <w:rsid w:val="003B4CF2"/>
    <w:rsid w:val="003B73E5"/>
    <w:rsid w:val="003C3030"/>
    <w:rsid w:val="003C362B"/>
    <w:rsid w:val="003C5209"/>
    <w:rsid w:val="003C61CB"/>
    <w:rsid w:val="003D1C3F"/>
    <w:rsid w:val="003D403E"/>
    <w:rsid w:val="003D4351"/>
    <w:rsid w:val="003E536B"/>
    <w:rsid w:val="003E5F9C"/>
    <w:rsid w:val="003F067B"/>
    <w:rsid w:val="003F6517"/>
    <w:rsid w:val="003F7B84"/>
    <w:rsid w:val="0041044A"/>
    <w:rsid w:val="004218B3"/>
    <w:rsid w:val="004235C5"/>
    <w:rsid w:val="00423EFA"/>
    <w:rsid w:val="0043604A"/>
    <w:rsid w:val="00441F97"/>
    <w:rsid w:val="004464F9"/>
    <w:rsid w:val="004536D9"/>
    <w:rsid w:val="00455EA5"/>
    <w:rsid w:val="00456754"/>
    <w:rsid w:val="00460FCC"/>
    <w:rsid w:val="00463C7B"/>
    <w:rsid w:val="0046568F"/>
    <w:rsid w:val="00471638"/>
    <w:rsid w:val="004832D4"/>
    <w:rsid w:val="00492198"/>
    <w:rsid w:val="004A041C"/>
    <w:rsid w:val="004A0E5B"/>
    <w:rsid w:val="004A1513"/>
    <w:rsid w:val="004A4A55"/>
    <w:rsid w:val="004B16CC"/>
    <w:rsid w:val="004B20AC"/>
    <w:rsid w:val="004B2CFD"/>
    <w:rsid w:val="004B6EAE"/>
    <w:rsid w:val="004D0141"/>
    <w:rsid w:val="004D0A3A"/>
    <w:rsid w:val="004D73BB"/>
    <w:rsid w:val="004E61B2"/>
    <w:rsid w:val="00501F16"/>
    <w:rsid w:val="00511F63"/>
    <w:rsid w:val="005147B0"/>
    <w:rsid w:val="005206D2"/>
    <w:rsid w:val="00521DF2"/>
    <w:rsid w:val="0052253C"/>
    <w:rsid w:val="005263B0"/>
    <w:rsid w:val="0053142B"/>
    <w:rsid w:val="0053284A"/>
    <w:rsid w:val="00532934"/>
    <w:rsid w:val="00540B2B"/>
    <w:rsid w:val="005440E7"/>
    <w:rsid w:val="00550B1D"/>
    <w:rsid w:val="0056162F"/>
    <w:rsid w:val="00563E2B"/>
    <w:rsid w:val="005658EE"/>
    <w:rsid w:val="005707B5"/>
    <w:rsid w:val="00573F38"/>
    <w:rsid w:val="00574505"/>
    <w:rsid w:val="0057716E"/>
    <w:rsid w:val="005853B8"/>
    <w:rsid w:val="00595A10"/>
    <w:rsid w:val="005A0E65"/>
    <w:rsid w:val="005A11D6"/>
    <w:rsid w:val="005A29BC"/>
    <w:rsid w:val="005A3933"/>
    <w:rsid w:val="005A69EF"/>
    <w:rsid w:val="005B5A69"/>
    <w:rsid w:val="005B5E76"/>
    <w:rsid w:val="005B653A"/>
    <w:rsid w:val="005C341D"/>
    <w:rsid w:val="005C3AC8"/>
    <w:rsid w:val="005C782F"/>
    <w:rsid w:val="005D04A0"/>
    <w:rsid w:val="005D1419"/>
    <w:rsid w:val="005D3D74"/>
    <w:rsid w:val="005D4510"/>
    <w:rsid w:val="005E7CA9"/>
    <w:rsid w:val="005F0CCD"/>
    <w:rsid w:val="005F4F8E"/>
    <w:rsid w:val="00603C52"/>
    <w:rsid w:val="00605111"/>
    <w:rsid w:val="00615126"/>
    <w:rsid w:val="00625CA8"/>
    <w:rsid w:val="00627019"/>
    <w:rsid w:val="006271FC"/>
    <w:rsid w:val="0062784B"/>
    <w:rsid w:val="006306BA"/>
    <w:rsid w:val="00630F55"/>
    <w:rsid w:val="00633254"/>
    <w:rsid w:val="00636263"/>
    <w:rsid w:val="00642DC5"/>
    <w:rsid w:val="006554B7"/>
    <w:rsid w:val="0065552F"/>
    <w:rsid w:val="0066249E"/>
    <w:rsid w:val="0066767B"/>
    <w:rsid w:val="00671240"/>
    <w:rsid w:val="00674A8C"/>
    <w:rsid w:val="006870DA"/>
    <w:rsid w:val="006870E2"/>
    <w:rsid w:val="00697602"/>
    <w:rsid w:val="006A22EA"/>
    <w:rsid w:val="006B2B32"/>
    <w:rsid w:val="006B5F52"/>
    <w:rsid w:val="006C394B"/>
    <w:rsid w:val="006C5B39"/>
    <w:rsid w:val="006C6F1E"/>
    <w:rsid w:val="006C7A97"/>
    <w:rsid w:val="006D0321"/>
    <w:rsid w:val="006D45AA"/>
    <w:rsid w:val="006E10E1"/>
    <w:rsid w:val="006E19C5"/>
    <w:rsid w:val="006E4D5D"/>
    <w:rsid w:val="006E4F96"/>
    <w:rsid w:val="006F4ACD"/>
    <w:rsid w:val="0070115C"/>
    <w:rsid w:val="00703617"/>
    <w:rsid w:val="0070459C"/>
    <w:rsid w:val="00711888"/>
    <w:rsid w:val="007133D3"/>
    <w:rsid w:val="007137BF"/>
    <w:rsid w:val="007167FD"/>
    <w:rsid w:val="007235ED"/>
    <w:rsid w:val="00723E3F"/>
    <w:rsid w:val="00734534"/>
    <w:rsid w:val="00734830"/>
    <w:rsid w:val="00736F07"/>
    <w:rsid w:val="00747F4B"/>
    <w:rsid w:val="00747FD4"/>
    <w:rsid w:val="00750268"/>
    <w:rsid w:val="0075325A"/>
    <w:rsid w:val="00756473"/>
    <w:rsid w:val="00760F6B"/>
    <w:rsid w:val="0076489B"/>
    <w:rsid w:val="007651A9"/>
    <w:rsid w:val="007672E2"/>
    <w:rsid w:val="00774245"/>
    <w:rsid w:val="00776F36"/>
    <w:rsid w:val="00780078"/>
    <w:rsid w:val="00785500"/>
    <w:rsid w:val="007876AF"/>
    <w:rsid w:val="007906DE"/>
    <w:rsid w:val="0079163E"/>
    <w:rsid w:val="00792A6D"/>
    <w:rsid w:val="00793ED2"/>
    <w:rsid w:val="00795735"/>
    <w:rsid w:val="007A21DE"/>
    <w:rsid w:val="007A5617"/>
    <w:rsid w:val="007A5949"/>
    <w:rsid w:val="007B149B"/>
    <w:rsid w:val="007B1930"/>
    <w:rsid w:val="007B23DE"/>
    <w:rsid w:val="007B5796"/>
    <w:rsid w:val="007B7AE8"/>
    <w:rsid w:val="007C0756"/>
    <w:rsid w:val="007C10FE"/>
    <w:rsid w:val="007C6956"/>
    <w:rsid w:val="007D1447"/>
    <w:rsid w:val="007E1C1C"/>
    <w:rsid w:val="007E1F44"/>
    <w:rsid w:val="007E255E"/>
    <w:rsid w:val="007E7318"/>
    <w:rsid w:val="007F0D4C"/>
    <w:rsid w:val="007F1503"/>
    <w:rsid w:val="007F1F94"/>
    <w:rsid w:val="007F54B6"/>
    <w:rsid w:val="007F5EE4"/>
    <w:rsid w:val="007F7129"/>
    <w:rsid w:val="00802F8D"/>
    <w:rsid w:val="0080584B"/>
    <w:rsid w:val="008058E9"/>
    <w:rsid w:val="008126B9"/>
    <w:rsid w:val="008145C3"/>
    <w:rsid w:val="00820434"/>
    <w:rsid w:val="00820809"/>
    <w:rsid w:val="0082150D"/>
    <w:rsid w:val="008330C2"/>
    <w:rsid w:val="0083647C"/>
    <w:rsid w:val="008406F4"/>
    <w:rsid w:val="00841719"/>
    <w:rsid w:val="008447E3"/>
    <w:rsid w:val="00844D99"/>
    <w:rsid w:val="0084737C"/>
    <w:rsid w:val="00847387"/>
    <w:rsid w:val="00856D5A"/>
    <w:rsid w:val="008600BD"/>
    <w:rsid w:val="008612F6"/>
    <w:rsid w:val="00880BC3"/>
    <w:rsid w:val="00883132"/>
    <w:rsid w:val="00886DDA"/>
    <w:rsid w:val="00890884"/>
    <w:rsid w:val="008973BD"/>
    <w:rsid w:val="008A4A10"/>
    <w:rsid w:val="008B54FF"/>
    <w:rsid w:val="008B5F41"/>
    <w:rsid w:val="008C3EEC"/>
    <w:rsid w:val="008C7D2C"/>
    <w:rsid w:val="008D076B"/>
    <w:rsid w:val="008D54AB"/>
    <w:rsid w:val="008E51A1"/>
    <w:rsid w:val="008F5DBA"/>
    <w:rsid w:val="008F6692"/>
    <w:rsid w:val="008F7AA1"/>
    <w:rsid w:val="009017C8"/>
    <w:rsid w:val="00902942"/>
    <w:rsid w:val="0090615E"/>
    <w:rsid w:val="0090628C"/>
    <w:rsid w:val="0090686D"/>
    <w:rsid w:val="00911BE2"/>
    <w:rsid w:val="00942830"/>
    <w:rsid w:val="0095031E"/>
    <w:rsid w:val="00952AA9"/>
    <w:rsid w:val="00952E47"/>
    <w:rsid w:val="009542E7"/>
    <w:rsid w:val="00956824"/>
    <w:rsid w:val="00960429"/>
    <w:rsid w:val="00961534"/>
    <w:rsid w:val="00962D3A"/>
    <w:rsid w:val="00982B09"/>
    <w:rsid w:val="00982C6A"/>
    <w:rsid w:val="00982EED"/>
    <w:rsid w:val="0099101B"/>
    <w:rsid w:val="009B43CB"/>
    <w:rsid w:val="009B4B9F"/>
    <w:rsid w:val="009D0E04"/>
    <w:rsid w:val="009E6C5B"/>
    <w:rsid w:val="009E6CD7"/>
    <w:rsid w:val="009E6D07"/>
    <w:rsid w:val="009E77CF"/>
    <w:rsid w:val="009F7321"/>
    <w:rsid w:val="00A02D9E"/>
    <w:rsid w:val="00A21F3D"/>
    <w:rsid w:val="00A24AD9"/>
    <w:rsid w:val="00A31D9B"/>
    <w:rsid w:val="00A37C27"/>
    <w:rsid w:val="00A44EE4"/>
    <w:rsid w:val="00A4699F"/>
    <w:rsid w:val="00A47749"/>
    <w:rsid w:val="00A519B8"/>
    <w:rsid w:val="00A54A02"/>
    <w:rsid w:val="00A54E5B"/>
    <w:rsid w:val="00A65493"/>
    <w:rsid w:val="00A6613C"/>
    <w:rsid w:val="00A67538"/>
    <w:rsid w:val="00A6766A"/>
    <w:rsid w:val="00A7350D"/>
    <w:rsid w:val="00A768D1"/>
    <w:rsid w:val="00A85FC6"/>
    <w:rsid w:val="00A96448"/>
    <w:rsid w:val="00AA7A4B"/>
    <w:rsid w:val="00AB08D6"/>
    <w:rsid w:val="00AB3621"/>
    <w:rsid w:val="00AB71BE"/>
    <w:rsid w:val="00AC0599"/>
    <w:rsid w:val="00AC38D6"/>
    <w:rsid w:val="00AC78CA"/>
    <w:rsid w:val="00AD1019"/>
    <w:rsid w:val="00AD4AE8"/>
    <w:rsid w:val="00AD60D8"/>
    <w:rsid w:val="00AD699B"/>
    <w:rsid w:val="00AD7C01"/>
    <w:rsid w:val="00AE104E"/>
    <w:rsid w:val="00AE2C86"/>
    <w:rsid w:val="00AE32FB"/>
    <w:rsid w:val="00AE54C1"/>
    <w:rsid w:val="00AE7307"/>
    <w:rsid w:val="00AF4B17"/>
    <w:rsid w:val="00AF7ADA"/>
    <w:rsid w:val="00B0451D"/>
    <w:rsid w:val="00B0517A"/>
    <w:rsid w:val="00B075B8"/>
    <w:rsid w:val="00B12F31"/>
    <w:rsid w:val="00B30777"/>
    <w:rsid w:val="00B3310B"/>
    <w:rsid w:val="00B34E3F"/>
    <w:rsid w:val="00B55FED"/>
    <w:rsid w:val="00B57435"/>
    <w:rsid w:val="00B60F43"/>
    <w:rsid w:val="00B61ED1"/>
    <w:rsid w:val="00B641EF"/>
    <w:rsid w:val="00B77119"/>
    <w:rsid w:val="00B77E0B"/>
    <w:rsid w:val="00B87F88"/>
    <w:rsid w:val="00B90DDF"/>
    <w:rsid w:val="00B968A8"/>
    <w:rsid w:val="00BA4032"/>
    <w:rsid w:val="00BA6FF9"/>
    <w:rsid w:val="00BB010E"/>
    <w:rsid w:val="00BB2C51"/>
    <w:rsid w:val="00BB4531"/>
    <w:rsid w:val="00BC2C56"/>
    <w:rsid w:val="00BC68EB"/>
    <w:rsid w:val="00BD4272"/>
    <w:rsid w:val="00BD5D38"/>
    <w:rsid w:val="00BD5FA6"/>
    <w:rsid w:val="00BE5200"/>
    <w:rsid w:val="00BF3332"/>
    <w:rsid w:val="00BF37D7"/>
    <w:rsid w:val="00BF56C3"/>
    <w:rsid w:val="00BF6EB4"/>
    <w:rsid w:val="00C02714"/>
    <w:rsid w:val="00C10D34"/>
    <w:rsid w:val="00C11571"/>
    <w:rsid w:val="00C210FC"/>
    <w:rsid w:val="00C3000D"/>
    <w:rsid w:val="00C33A89"/>
    <w:rsid w:val="00C379A2"/>
    <w:rsid w:val="00C42CFF"/>
    <w:rsid w:val="00C4365F"/>
    <w:rsid w:val="00C4410D"/>
    <w:rsid w:val="00C51D1F"/>
    <w:rsid w:val="00C55C94"/>
    <w:rsid w:val="00C55FD8"/>
    <w:rsid w:val="00C57784"/>
    <w:rsid w:val="00C57D50"/>
    <w:rsid w:val="00C610FA"/>
    <w:rsid w:val="00C61B77"/>
    <w:rsid w:val="00C63A6F"/>
    <w:rsid w:val="00C731C8"/>
    <w:rsid w:val="00C830D6"/>
    <w:rsid w:val="00C87E98"/>
    <w:rsid w:val="00C91ACC"/>
    <w:rsid w:val="00CB185D"/>
    <w:rsid w:val="00CB471D"/>
    <w:rsid w:val="00CC0498"/>
    <w:rsid w:val="00CC3E8E"/>
    <w:rsid w:val="00CC3F79"/>
    <w:rsid w:val="00CC468F"/>
    <w:rsid w:val="00CC6E32"/>
    <w:rsid w:val="00CC6E3A"/>
    <w:rsid w:val="00CD0276"/>
    <w:rsid w:val="00CD04FF"/>
    <w:rsid w:val="00CD4D44"/>
    <w:rsid w:val="00CE493F"/>
    <w:rsid w:val="00CF4867"/>
    <w:rsid w:val="00D1203C"/>
    <w:rsid w:val="00D14B75"/>
    <w:rsid w:val="00D229E8"/>
    <w:rsid w:val="00D44C5D"/>
    <w:rsid w:val="00D47A96"/>
    <w:rsid w:val="00D53670"/>
    <w:rsid w:val="00D5451B"/>
    <w:rsid w:val="00D55A80"/>
    <w:rsid w:val="00D57FDC"/>
    <w:rsid w:val="00D60949"/>
    <w:rsid w:val="00D6229E"/>
    <w:rsid w:val="00D66376"/>
    <w:rsid w:val="00D66D8D"/>
    <w:rsid w:val="00D83622"/>
    <w:rsid w:val="00D947A9"/>
    <w:rsid w:val="00DA0FB8"/>
    <w:rsid w:val="00DB0195"/>
    <w:rsid w:val="00DB4056"/>
    <w:rsid w:val="00DB55EC"/>
    <w:rsid w:val="00DC177D"/>
    <w:rsid w:val="00DC26E6"/>
    <w:rsid w:val="00DC635A"/>
    <w:rsid w:val="00DD6F5E"/>
    <w:rsid w:val="00DE0166"/>
    <w:rsid w:val="00DE31B5"/>
    <w:rsid w:val="00DE3558"/>
    <w:rsid w:val="00DE56F8"/>
    <w:rsid w:val="00DE79A1"/>
    <w:rsid w:val="00E05E37"/>
    <w:rsid w:val="00E10AF4"/>
    <w:rsid w:val="00E1320F"/>
    <w:rsid w:val="00E1453B"/>
    <w:rsid w:val="00E2111C"/>
    <w:rsid w:val="00E25075"/>
    <w:rsid w:val="00E251F6"/>
    <w:rsid w:val="00E25C9A"/>
    <w:rsid w:val="00E317AC"/>
    <w:rsid w:val="00E332CD"/>
    <w:rsid w:val="00E347FD"/>
    <w:rsid w:val="00E350AE"/>
    <w:rsid w:val="00E43E45"/>
    <w:rsid w:val="00E441A9"/>
    <w:rsid w:val="00E454EE"/>
    <w:rsid w:val="00E4574A"/>
    <w:rsid w:val="00E471E8"/>
    <w:rsid w:val="00E555AC"/>
    <w:rsid w:val="00E6373E"/>
    <w:rsid w:val="00E64508"/>
    <w:rsid w:val="00E704DD"/>
    <w:rsid w:val="00E74987"/>
    <w:rsid w:val="00E77759"/>
    <w:rsid w:val="00E80353"/>
    <w:rsid w:val="00E8211D"/>
    <w:rsid w:val="00E82F2A"/>
    <w:rsid w:val="00E86EC2"/>
    <w:rsid w:val="00E87FA9"/>
    <w:rsid w:val="00E915D6"/>
    <w:rsid w:val="00E937CB"/>
    <w:rsid w:val="00E95961"/>
    <w:rsid w:val="00E9714D"/>
    <w:rsid w:val="00E975A9"/>
    <w:rsid w:val="00EA0E32"/>
    <w:rsid w:val="00EA2395"/>
    <w:rsid w:val="00EB0007"/>
    <w:rsid w:val="00EB6AF2"/>
    <w:rsid w:val="00EC22ED"/>
    <w:rsid w:val="00EC553B"/>
    <w:rsid w:val="00ED0777"/>
    <w:rsid w:val="00ED1189"/>
    <w:rsid w:val="00ED1D2F"/>
    <w:rsid w:val="00ED225C"/>
    <w:rsid w:val="00ED2AEE"/>
    <w:rsid w:val="00ED7EF5"/>
    <w:rsid w:val="00EE3C32"/>
    <w:rsid w:val="00EE3F9C"/>
    <w:rsid w:val="00EE7197"/>
    <w:rsid w:val="00EF2096"/>
    <w:rsid w:val="00F03444"/>
    <w:rsid w:val="00F051BD"/>
    <w:rsid w:val="00F11058"/>
    <w:rsid w:val="00F138D1"/>
    <w:rsid w:val="00F14677"/>
    <w:rsid w:val="00F2009D"/>
    <w:rsid w:val="00F22A92"/>
    <w:rsid w:val="00F330FC"/>
    <w:rsid w:val="00F34DB3"/>
    <w:rsid w:val="00F37A72"/>
    <w:rsid w:val="00F40AD3"/>
    <w:rsid w:val="00F43729"/>
    <w:rsid w:val="00F465C2"/>
    <w:rsid w:val="00F53722"/>
    <w:rsid w:val="00F54981"/>
    <w:rsid w:val="00F551D4"/>
    <w:rsid w:val="00F574F9"/>
    <w:rsid w:val="00F60A7E"/>
    <w:rsid w:val="00F64E78"/>
    <w:rsid w:val="00F651B6"/>
    <w:rsid w:val="00F6593A"/>
    <w:rsid w:val="00F72391"/>
    <w:rsid w:val="00F807FD"/>
    <w:rsid w:val="00F86687"/>
    <w:rsid w:val="00F87638"/>
    <w:rsid w:val="00FA0BF1"/>
    <w:rsid w:val="00FA6664"/>
    <w:rsid w:val="00FB3B51"/>
    <w:rsid w:val="00FC2CD1"/>
    <w:rsid w:val="00FE6D87"/>
    <w:rsid w:val="00FF2327"/>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D60949"/>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32598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32598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32598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32598B"/>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32598B"/>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32598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32598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32598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32598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D609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0949"/>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32598B"/>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32598B"/>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32598B"/>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32598B"/>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32598B"/>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32598B"/>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32598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2598B"/>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32598B"/>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32598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2598B"/>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32598B"/>
    <w:rPr>
      <w:i/>
      <w:iCs/>
    </w:rPr>
  </w:style>
  <w:style w:type="character" w:styleId="Strong">
    <w:name w:val="Strong"/>
    <w:basedOn w:val="DefaultParagraphFont"/>
    <w:uiPriority w:val="22"/>
    <w:qFormat/>
    <w:rsid w:val="0032598B"/>
    <w:rPr>
      <w:b/>
      <w:bCs/>
    </w:rPr>
  </w:style>
  <w:style w:type="character" w:styleId="IntenseEmphasis">
    <w:name w:val="Intense Emphasis"/>
    <w:basedOn w:val="DefaultParagraphFont"/>
    <w:uiPriority w:val="21"/>
    <w:qFormat/>
    <w:rsid w:val="0032598B"/>
    <w:rPr>
      <w:b/>
      <w:bCs/>
      <w:i/>
      <w:iCs/>
    </w:rPr>
  </w:style>
  <w:style w:type="paragraph" w:styleId="Quote">
    <w:name w:val="Quote"/>
    <w:basedOn w:val="Normal"/>
    <w:next w:val="Normal"/>
    <w:link w:val="QuoteChar"/>
    <w:uiPriority w:val="29"/>
    <w:qFormat/>
    <w:rsid w:val="0032598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2598B"/>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32598B"/>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32598B"/>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32598B"/>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32598B"/>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32598B"/>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32598B"/>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32598B"/>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32598B"/>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32598B"/>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32598B"/>
    <w:rPr>
      <w:smallCaps/>
      <w:color w:val="595959" w:themeColor="text1" w:themeTint="A6"/>
    </w:rPr>
  </w:style>
  <w:style w:type="character" w:styleId="BookTitle">
    <w:name w:val="Book Title"/>
    <w:basedOn w:val="DefaultParagraphFont"/>
    <w:uiPriority w:val="33"/>
    <w:qFormat/>
    <w:rsid w:val="0032598B"/>
    <w:rPr>
      <w:b/>
      <w:bCs/>
      <w:caps w:val="0"/>
      <w:smallCaps/>
      <w:spacing w:val="7"/>
      <w:sz w:val="21"/>
      <w:szCs w:val="21"/>
    </w:rPr>
  </w:style>
  <w:style w:type="paragraph" w:styleId="TOCHeading">
    <w:name w:val="TOC Heading"/>
    <w:basedOn w:val="Heading1"/>
    <w:next w:val="Normal"/>
    <w:uiPriority w:val="39"/>
    <w:semiHidden/>
    <w:unhideWhenUsed/>
    <w:qFormat/>
    <w:rsid w:val="0032598B"/>
    <w:pPr>
      <w:outlineLvl w:val="9"/>
    </w:pPr>
  </w:style>
  <w:style w:type="paragraph" w:styleId="NormalWeb">
    <w:name w:val="Normal (Web)"/>
    <w:basedOn w:val="Normal"/>
    <w:uiPriority w:val="99"/>
    <w:unhideWhenUsed/>
    <w:rsid w:val="00BD5D38"/>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styleId="Revision">
    <w:name w:val="Revision"/>
    <w:hidden/>
    <w:uiPriority w:val="99"/>
    <w:semiHidden/>
    <w:rsid w:val="00F330FC"/>
    <w:rPr>
      <w:rFonts w:asciiTheme="minorHAnsi" w:eastAsiaTheme="minorHAnsi" w:hAnsiTheme="minorHAnsi" w:cstheme="minorBidi"/>
      <w:kern w:val="2"/>
      <w:sz w:val="21"/>
      <w:szCs w:val="21"/>
      <w14:ligatures w14:val="standardContextual"/>
    </w:rPr>
  </w:style>
  <w:style w:type="character" w:styleId="CommentReference">
    <w:name w:val="annotation reference"/>
    <w:basedOn w:val="DefaultParagraphFont"/>
    <w:semiHidden/>
    <w:unhideWhenUsed/>
    <w:rsid w:val="003E5F9C"/>
    <w:rPr>
      <w:sz w:val="16"/>
      <w:szCs w:val="16"/>
    </w:rPr>
  </w:style>
  <w:style w:type="paragraph" w:styleId="CommentText">
    <w:name w:val="annotation text"/>
    <w:basedOn w:val="Normal"/>
    <w:link w:val="CommentTextChar"/>
    <w:unhideWhenUsed/>
    <w:rsid w:val="003E5F9C"/>
    <w:pPr>
      <w:spacing w:line="240" w:lineRule="auto"/>
    </w:pPr>
    <w:rPr>
      <w:sz w:val="20"/>
      <w:szCs w:val="20"/>
    </w:rPr>
  </w:style>
  <w:style w:type="character" w:customStyle="1" w:styleId="CommentTextChar">
    <w:name w:val="Comment Text Char"/>
    <w:basedOn w:val="DefaultParagraphFont"/>
    <w:link w:val="CommentText"/>
    <w:rsid w:val="003E5F9C"/>
    <w:rPr>
      <w:rFonts w:asciiTheme="minorHAnsi" w:eastAsiaTheme="minorHAnsi" w:hAnsiTheme="minorHAnsi" w:cstheme="minorBidi"/>
      <w:kern w:val="2"/>
      <w14:ligatures w14:val="standardContextual"/>
    </w:rPr>
  </w:style>
  <w:style w:type="paragraph" w:styleId="CommentSubject">
    <w:name w:val="annotation subject"/>
    <w:basedOn w:val="CommentText"/>
    <w:next w:val="CommentText"/>
    <w:link w:val="CommentSubjectChar"/>
    <w:semiHidden/>
    <w:unhideWhenUsed/>
    <w:rsid w:val="003E5F9C"/>
    <w:rPr>
      <w:b/>
      <w:bCs/>
    </w:rPr>
  </w:style>
  <w:style w:type="character" w:customStyle="1" w:styleId="CommentSubjectChar">
    <w:name w:val="Comment Subject Char"/>
    <w:basedOn w:val="CommentTextChar"/>
    <w:link w:val="CommentSubject"/>
    <w:semiHidden/>
    <w:rsid w:val="003E5F9C"/>
    <w:rPr>
      <w:rFonts w:asciiTheme="minorHAnsi" w:eastAsiaTheme="minorHAnsi" w:hAnsiTheme="minorHAnsi" w:cstheme="minorBidi"/>
      <w:b/>
      <w:bCs/>
      <w:kern w:val="2"/>
      <w14:ligatures w14:val="standardContextual"/>
    </w:rPr>
  </w:style>
  <w:style w:type="paragraph" w:styleId="FootnoteText">
    <w:name w:val="footnote text"/>
    <w:basedOn w:val="Normal"/>
    <w:link w:val="FootnoteTextChar"/>
    <w:semiHidden/>
    <w:unhideWhenUsed/>
    <w:rsid w:val="00630F55"/>
    <w:pPr>
      <w:spacing w:line="240" w:lineRule="auto"/>
    </w:pPr>
    <w:rPr>
      <w:sz w:val="20"/>
      <w:szCs w:val="20"/>
    </w:rPr>
  </w:style>
  <w:style w:type="character" w:customStyle="1" w:styleId="FootnoteTextChar">
    <w:name w:val="Footnote Text Char"/>
    <w:basedOn w:val="DefaultParagraphFont"/>
    <w:link w:val="FootnoteText"/>
    <w:semiHidden/>
    <w:rsid w:val="00630F55"/>
    <w:rPr>
      <w:rFonts w:ascii="Arial" w:eastAsiaTheme="minorHAnsi" w:hAnsi="Arial"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071552">
      <w:bodyDiv w:val="1"/>
      <w:marLeft w:val="0"/>
      <w:marRight w:val="0"/>
      <w:marTop w:val="0"/>
      <w:marBottom w:val="0"/>
      <w:divBdr>
        <w:top w:val="none" w:sz="0" w:space="0" w:color="auto"/>
        <w:left w:val="none" w:sz="0" w:space="0" w:color="auto"/>
        <w:bottom w:val="none" w:sz="0" w:space="0" w:color="auto"/>
        <w:right w:val="none" w:sz="0" w:space="0" w:color="auto"/>
      </w:divBdr>
    </w:div>
    <w:div w:id="81718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1279</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Bernadette Cizin</cp:lastModifiedBy>
  <cp:revision>9</cp:revision>
  <cp:lastPrinted>2018-01-16T20:45:00Z</cp:lastPrinted>
  <dcterms:created xsi:type="dcterms:W3CDTF">2024-10-07T22:23:00Z</dcterms:created>
  <dcterms:modified xsi:type="dcterms:W3CDTF">2024-10-31T21:09:00Z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